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6E" w:rsidRPr="009D0D4A" w:rsidRDefault="00D4406E" w:rsidP="00D4406E">
      <w:pPr>
        <w:jc w:val="center"/>
        <w:rPr>
          <w:b/>
          <w:bCs/>
          <w:sz w:val="32"/>
          <w:szCs w:val="32"/>
          <w:rtl/>
        </w:rPr>
      </w:pPr>
      <w:r w:rsidRPr="009D0D4A">
        <w:rPr>
          <w:rFonts w:hint="cs"/>
          <w:b/>
          <w:bCs/>
          <w:sz w:val="32"/>
          <w:szCs w:val="32"/>
          <w:rtl/>
        </w:rPr>
        <w:t>הכנה מקודש לחול:</w:t>
      </w:r>
    </w:p>
    <w:p w:rsidR="00D4406E" w:rsidRPr="009D0D4A" w:rsidRDefault="00D4406E" w:rsidP="00D4406E">
      <w:pPr>
        <w:rPr>
          <w:b/>
          <w:bCs/>
          <w:rtl/>
        </w:rPr>
      </w:pPr>
      <w:r w:rsidRPr="009D0D4A">
        <w:rPr>
          <w:rFonts w:hint="cs"/>
          <w:b/>
          <w:bCs/>
          <w:highlight w:val="yellow"/>
          <w:rtl/>
        </w:rPr>
        <w:t>טקסט מרכזי:</w:t>
      </w:r>
      <w:r w:rsidRPr="009D0D4A">
        <w:rPr>
          <w:rFonts w:hint="cs"/>
          <w:b/>
          <w:bCs/>
          <w:rtl/>
        </w:rPr>
        <w:t xml:space="preserve"> </w:t>
      </w:r>
    </w:p>
    <w:p w:rsidR="00D4406E" w:rsidRPr="00552F82" w:rsidRDefault="00D4406E" w:rsidP="00D4406E">
      <w:pPr>
        <w:rPr>
          <w:b/>
          <w:bCs/>
          <w:rtl/>
        </w:rPr>
      </w:pPr>
      <w:r w:rsidRPr="00552F82">
        <w:rPr>
          <w:rFonts w:hint="cs"/>
          <w:b/>
          <w:bCs/>
          <w:rtl/>
        </w:rPr>
        <w:t xml:space="preserve">"תנו רבנן*: </w:t>
      </w:r>
    </w:p>
    <w:p w:rsidR="00D4406E" w:rsidRDefault="00D4406E" w:rsidP="00D4406E">
      <w:pPr>
        <w:rPr>
          <w:b/>
          <w:bCs/>
          <w:rtl/>
        </w:rPr>
      </w:pPr>
      <w:r w:rsidRPr="00552F82">
        <w:rPr>
          <w:rFonts w:hint="cs"/>
          <w:b/>
          <w:bCs/>
          <w:rtl/>
        </w:rPr>
        <w:t>קערות שאכל בהן ערבית מדיחן לאכול בהן שחרית,</w:t>
      </w:r>
    </w:p>
    <w:p w:rsidR="00D4406E" w:rsidRDefault="00D4406E" w:rsidP="00D4406E">
      <w:pPr>
        <w:rPr>
          <w:rFonts w:hint="cs"/>
          <w:b/>
          <w:bCs/>
          <w:rtl/>
        </w:rPr>
      </w:pPr>
      <w:r w:rsidRPr="00552F82">
        <w:rPr>
          <w:rFonts w:hint="cs"/>
          <w:b/>
          <w:bCs/>
          <w:rtl/>
        </w:rPr>
        <w:t xml:space="preserve">שחרית </w:t>
      </w:r>
      <w:r>
        <w:rPr>
          <w:b/>
          <w:bCs/>
          <w:rtl/>
        </w:rPr>
        <w:t>–</w:t>
      </w:r>
      <w:r>
        <w:rPr>
          <w:rFonts w:hint="cs"/>
          <w:b/>
          <w:bCs/>
          <w:rtl/>
        </w:rPr>
        <w:t xml:space="preserve"> מד</w:t>
      </w:r>
      <w:r w:rsidRPr="00552F82">
        <w:rPr>
          <w:rFonts w:hint="cs"/>
          <w:b/>
          <w:bCs/>
          <w:rtl/>
        </w:rPr>
        <w:t xml:space="preserve">יחן לאכול בהן בצהרים, </w:t>
      </w:r>
    </w:p>
    <w:p w:rsidR="00D4406E" w:rsidRDefault="00D4406E" w:rsidP="00D4406E">
      <w:pPr>
        <w:rPr>
          <w:b/>
          <w:bCs/>
          <w:rtl/>
        </w:rPr>
      </w:pPr>
      <w:r w:rsidRPr="00552F82">
        <w:rPr>
          <w:rFonts w:hint="cs"/>
          <w:b/>
          <w:bCs/>
          <w:rtl/>
        </w:rPr>
        <w:t xml:space="preserve">בצהרים </w:t>
      </w:r>
      <w:r>
        <w:rPr>
          <w:b/>
          <w:bCs/>
          <w:rtl/>
        </w:rPr>
        <w:t>–</w:t>
      </w:r>
      <w:r>
        <w:rPr>
          <w:rFonts w:hint="cs"/>
          <w:b/>
          <w:bCs/>
          <w:rtl/>
        </w:rPr>
        <w:t xml:space="preserve"> מד</w:t>
      </w:r>
      <w:r w:rsidRPr="00552F82">
        <w:rPr>
          <w:rFonts w:hint="cs"/>
          <w:b/>
          <w:bCs/>
          <w:rtl/>
        </w:rPr>
        <w:t xml:space="preserve">יחן לאכול בהן במנחה, </w:t>
      </w:r>
    </w:p>
    <w:p w:rsidR="00D4406E" w:rsidRDefault="00D4406E" w:rsidP="00D4406E">
      <w:pPr>
        <w:rPr>
          <w:b/>
          <w:bCs/>
          <w:rtl/>
        </w:rPr>
      </w:pPr>
      <w:r w:rsidRPr="00552F82">
        <w:rPr>
          <w:rFonts w:hint="cs"/>
          <w:b/>
          <w:bCs/>
          <w:rtl/>
        </w:rPr>
        <w:t xml:space="preserve">מן המנחה ואילך שוב אינו מדיח, </w:t>
      </w:r>
    </w:p>
    <w:p w:rsidR="00D4406E" w:rsidRPr="00552F82" w:rsidRDefault="00D4406E" w:rsidP="00D4406E">
      <w:pPr>
        <w:rPr>
          <w:b/>
          <w:bCs/>
          <w:rtl/>
        </w:rPr>
      </w:pPr>
      <w:r w:rsidRPr="00552F82">
        <w:rPr>
          <w:rFonts w:hint="cs"/>
          <w:b/>
          <w:bCs/>
          <w:rtl/>
        </w:rPr>
        <w:t xml:space="preserve">אבל כוסות </w:t>
      </w:r>
      <w:proofErr w:type="spellStart"/>
      <w:r w:rsidRPr="00552F82">
        <w:rPr>
          <w:rFonts w:hint="cs"/>
          <w:b/>
          <w:bCs/>
          <w:rtl/>
        </w:rPr>
        <w:t>וקיתוניות</w:t>
      </w:r>
      <w:proofErr w:type="spellEnd"/>
      <w:r w:rsidRPr="00552F82">
        <w:rPr>
          <w:rFonts w:hint="cs"/>
          <w:b/>
          <w:bCs/>
          <w:rtl/>
        </w:rPr>
        <w:t xml:space="preserve"> וצלוחיות מדיח והולך כל היום כולו, לפי שאין קבע </w:t>
      </w:r>
      <w:proofErr w:type="spellStart"/>
      <w:r w:rsidRPr="00552F82">
        <w:rPr>
          <w:rFonts w:hint="cs"/>
          <w:b/>
          <w:bCs/>
          <w:rtl/>
        </w:rPr>
        <w:t>לשתיה</w:t>
      </w:r>
      <w:proofErr w:type="spellEnd"/>
      <w:r>
        <w:rPr>
          <w:rFonts w:hint="cs"/>
          <w:b/>
          <w:bCs/>
          <w:rtl/>
        </w:rPr>
        <w:t>".</w:t>
      </w:r>
    </w:p>
    <w:p w:rsidR="00D4406E" w:rsidRDefault="00D4406E" w:rsidP="00D4406E">
      <w:pPr>
        <w:jc w:val="right"/>
        <w:rPr>
          <w:rtl/>
        </w:rPr>
      </w:pPr>
      <w:r>
        <w:rPr>
          <w:rFonts w:hint="cs"/>
          <w:rtl/>
        </w:rPr>
        <w:t>(מסכת שבת דף קי"ד ע"ב)</w:t>
      </w:r>
    </w:p>
    <w:p w:rsidR="00D4406E" w:rsidRDefault="00D4406E" w:rsidP="00D4406E">
      <w:pPr>
        <w:pStyle w:val="a4"/>
        <w:rPr>
          <w:b/>
          <w:bCs/>
          <w:rtl/>
        </w:rPr>
      </w:pPr>
    </w:p>
    <w:p w:rsidR="00D4406E" w:rsidRDefault="00D4406E" w:rsidP="00D4406E">
      <w:pPr>
        <w:pStyle w:val="a4"/>
        <w:rPr>
          <w:rtl/>
        </w:rPr>
      </w:pPr>
      <w:r w:rsidRPr="00552F82">
        <w:rPr>
          <w:rFonts w:hint="cs"/>
          <w:b/>
          <w:bCs/>
          <w:rtl/>
        </w:rPr>
        <w:t>תנו רבנן</w:t>
      </w:r>
      <w:r>
        <w:rPr>
          <w:rFonts w:hint="cs"/>
          <w:rtl/>
        </w:rPr>
        <w:t xml:space="preserve"> - לשון בה משתמש התלמוד ביחס לציטוטים ממקורות מתקופת המשנה, שאינם חלק מהמשנה. מקורות אלו מכונים: </w:t>
      </w:r>
      <w:r w:rsidRPr="007865AD">
        <w:rPr>
          <w:rFonts w:hint="cs"/>
          <w:b/>
          <w:bCs/>
          <w:rtl/>
        </w:rPr>
        <w:t xml:space="preserve">ברייתות. </w:t>
      </w:r>
    </w:p>
    <w:p w:rsidR="00D4406E" w:rsidRDefault="00D4406E" w:rsidP="00D4406E">
      <w:pPr>
        <w:pStyle w:val="a4"/>
        <w:rPr>
          <w:rtl/>
        </w:rPr>
      </w:pPr>
      <w:r w:rsidRPr="007865AD">
        <w:rPr>
          <w:rFonts w:hint="cs"/>
          <w:b/>
          <w:bCs/>
          <w:rtl/>
        </w:rPr>
        <w:t>ברייתא</w:t>
      </w:r>
      <w:r>
        <w:rPr>
          <w:rFonts w:hint="cs"/>
          <w:rtl/>
        </w:rPr>
        <w:t xml:space="preserve"> </w:t>
      </w:r>
      <w:r>
        <w:rPr>
          <w:rtl/>
        </w:rPr>
        <w:t>–</w:t>
      </w:r>
      <w:r>
        <w:rPr>
          <w:rFonts w:hint="cs"/>
          <w:rtl/>
        </w:rPr>
        <w:t xml:space="preserve">  פירוש המילה ברייתא הוא מחוץ, מחוץ למשנה. </w:t>
      </w:r>
    </w:p>
    <w:p w:rsidR="00D4406E" w:rsidRDefault="00D4406E" w:rsidP="00D4406E">
      <w:pPr>
        <w:spacing w:after="0" w:line="240" w:lineRule="auto"/>
        <w:rPr>
          <w:rtl/>
        </w:rPr>
      </w:pPr>
      <w:r>
        <w:rPr>
          <w:rFonts w:hint="cs"/>
          <w:rtl/>
        </w:rPr>
        <w:t xml:space="preserve">התלמוד מרבה להביא מקורות שכאלו, מלבד המשנה עצמה, כיוון שהוא רואה במקורות הקדומים סמכות שעל פיה יישק דבר. </w:t>
      </w:r>
    </w:p>
    <w:p w:rsidR="00D4406E" w:rsidRDefault="00D4406E" w:rsidP="00D4406E">
      <w:pPr>
        <w:spacing w:after="0" w:line="240" w:lineRule="auto"/>
        <w:rPr>
          <w:b/>
          <w:bCs/>
          <w:rtl/>
        </w:rPr>
      </w:pPr>
    </w:p>
    <w:p w:rsidR="00D4406E" w:rsidRDefault="00D4406E" w:rsidP="00D4406E">
      <w:pPr>
        <w:spacing w:after="0" w:line="240" w:lineRule="auto"/>
        <w:rPr>
          <w:rtl/>
        </w:rPr>
      </w:pPr>
      <w:proofErr w:type="spellStart"/>
      <w:r w:rsidRPr="00740479">
        <w:rPr>
          <w:rFonts w:hint="cs"/>
          <w:b/>
          <w:bCs/>
          <w:rtl/>
        </w:rPr>
        <w:t>קיתוניות</w:t>
      </w:r>
      <w:proofErr w:type="spellEnd"/>
      <w:r>
        <w:rPr>
          <w:rFonts w:hint="cs"/>
          <w:rtl/>
        </w:rPr>
        <w:t xml:space="preserve"> </w:t>
      </w:r>
      <w:r>
        <w:rPr>
          <w:rtl/>
        </w:rPr>
        <w:t>–</w:t>
      </w:r>
      <w:r>
        <w:rPr>
          <w:rFonts w:hint="cs"/>
          <w:rtl/>
        </w:rPr>
        <w:t xml:space="preserve"> קיתון פירושו ספל. מקור המילה מיוונית: </w:t>
      </w:r>
      <w:proofErr w:type="spellStart"/>
      <w:r>
        <w:rPr>
          <w:rFonts w:hint="cs"/>
          <w:rtl/>
        </w:rPr>
        <w:t>קותון</w:t>
      </w:r>
      <w:proofErr w:type="spellEnd"/>
      <w:r>
        <w:rPr>
          <w:rFonts w:hint="cs"/>
          <w:rtl/>
        </w:rPr>
        <w:t xml:space="preserve">, שפירושה הוא כנראה כלי לשתייה לשוכרה או כלי לשתייה ששימש חיילים בצבא. </w:t>
      </w:r>
    </w:p>
    <w:p w:rsidR="00D4406E" w:rsidRDefault="00D4406E" w:rsidP="00D4406E">
      <w:pPr>
        <w:spacing w:after="0" w:line="240" w:lineRule="auto"/>
        <w:rPr>
          <w:rtl/>
        </w:rPr>
      </w:pPr>
    </w:p>
    <w:p w:rsidR="00D4406E" w:rsidRDefault="00D4406E" w:rsidP="00D4406E">
      <w:pPr>
        <w:rPr>
          <w:rtl/>
        </w:rPr>
      </w:pPr>
    </w:p>
    <w:p w:rsidR="00D4406E" w:rsidRPr="00740479" w:rsidRDefault="00D4406E" w:rsidP="00D4406E">
      <w:pPr>
        <w:rPr>
          <w:b/>
          <w:bCs/>
          <w:rtl/>
        </w:rPr>
      </w:pPr>
      <w:r w:rsidRPr="00740479">
        <w:rPr>
          <w:rFonts w:hint="cs"/>
          <w:b/>
          <w:bCs/>
          <w:highlight w:val="yellow"/>
          <w:rtl/>
        </w:rPr>
        <w:t>קריאה יחפה:</w:t>
      </w:r>
    </w:p>
    <w:p w:rsidR="00D4406E" w:rsidRDefault="00D4406E" w:rsidP="00D4406E">
      <w:pPr>
        <w:rPr>
          <w:rtl/>
        </w:rPr>
      </w:pPr>
      <w:r>
        <w:rPr>
          <w:rFonts w:hint="cs"/>
          <w:rtl/>
        </w:rPr>
        <w:t xml:space="preserve">על פי הברייתא המצוטט בתלמוד </w:t>
      </w:r>
      <w:r>
        <w:rPr>
          <w:rtl/>
        </w:rPr>
        <w:t>–</w:t>
      </w:r>
      <w:r>
        <w:rPr>
          <w:rFonts w:hint="cs"/>
          <w:rtl/>
        </w:rPr>
        <w:t xml:space="preserve"> </w:t>
      </w:r>
    </w:p>
    <w:p w:rsidR="00D4406E" w:rsidRDefault="00D4406E" w:rsidP="00D4406E">
      <w:pPr>
        <w:pStyle w:val="a3"/>
        <w:numPr>
          <w:ilvl w:val="0"/>
          <w:numId w:val="2"/>
        </w:numPr>
      </w:pPr>
      <w:r>
        <w:rPr>
          <w:rFonts w:hint="cs"/>
          <w:rtl/>
        </w:rPr>
        <w:t>האם מותר להדיח את כלי ארוחת הבוקר בשבת?</w:t>
      </w:r>
    </w:p>
    <w:p w:rsidR="00D4406E" w:rsidRDefault="00D4406E" w:rsidP="00D4406E">
      <w:pPr>
        <w:pStyle w:val="a3"/>
        <w:numPr>
          <w:ilvl w:val="0"/>
          <w:numId w:val="2"/>
        </w:numPr>
      </w:pPr>
      <w:r>
        <w:rPr>
          <w:rFonts w:hint="cs"/>
          <w:rtl/>
        </w:rPr>
        <w:t>האם מותר להדיח את כלי ארוחת הצהריים?</w:t>
      </w:r>
    </w:p>
    <w:p w:rsidR="00D4406E" w:rsidRDefault="00D4406E" w:rsidP="00D4406E">
      <w:pPr>
        <w:pStyle w:val="a3"/>
        <w:numPr>
          <w:ilvl w:val="0"/>
          <w:numId w:val="2"/>
        </w:numPr>
      </w:pPr>
      <w:r>
        <w:rPr>
          <w:rFonts w:hint="cs"/>
          <w:rtl/>
        </w:rPr>
        <w:t xml:space="preserve">האם מותר להדיח את הכלים שבהם השתמשו בשעות אחר הצהריים של יום השבת? </w:t>
      </w:r>
    </w:p>
    <w:p w:rsidR="00D4406E" w:rsidRDefault="00D4406E" w:rsidP="00D4406E">
      <w:pPr>
        <w:pStyle w:val="a3"/>
      </w:pPr>
    </w:p>
    <w:p w:rsidR="00D4406E" w:rsidRDefault="00D4406E" w:rsidP="00D4406E">
      <w:pPr>
        <w:pStyle w:val="a3"/>
        <w:numPr>
          <w:ilvl w:val="0"/>
          <w:numId w:val="2"/>
        </w:numPr>
      </w:pPr>
      <w:r>
        <w:rPr>
          <w:rFonts w:hint="cs"/>
          <w:rtl/>
        </w:rPr>
        <w:t xml:space="preserve">נסחו את כלל שיצליח להסביר את ההיגיון לפיו קובעים חכמים אילו כלים ואילו זמנים בשבת מותר להדיח ואילו אסור. </w:t>
      </w:r>
    </w:p>
    <w:p w:rsidR="00D4406E" w:rsidRDefault="00D4406E" w:rsidP="00D4406E">
      <w:pPr>
        <w:pStyle w:val="a3"/>
        <w:rPr>
          <w:rtl/>
        </w:rPr>
      </w:pPr>
    </w:p>
    <w:p w:rsidR="00D4406E" w:rsidRDefault="00D4406E" w:rsidP="00D4406E">
      <w:pPr>
        <w:rPr>
          <w:b/>
          <w:bCs/>
          <w:highlight w:val="yellow"/>
          <w:rtl/>
        </w:rPr>
      </w:pPr>
    </w:p>
    <w:p w:rsidR="00D4406E" w:rsidRDefault="00D4406E" w:rsidP="00D4406E">
      <w:pPr>
        <w:rPr>
          <w:b/>
          <w:bCs/>
          <w:highlight w:val="yellow"/>
          <w:rtl/>
        </w:rPr>
      </w:pPr>
      <w:r w:rsidRPr="00740479">
        <w:rPr>
          <w:rFonts w:hint="cs"/>
          <w:b/>
          <w:bCs/>
          <w:highlight w:val="yellow"/>
          <w:rtl/>
        </w:rPr>
        <w:t>ריבוי קולות:</w:t>
      </w:r>
    </w:p>
    <w:p w:rsidR="00D4406E" w:rsidRPr="00740479" w:rsidRDefault="00D4406E" w:rsidP="00D4406E">
      <w:pPr>
        <w:pStyle w:val="a3"/>
        <w:numPr>
          <w:ilvl w:val="0"/>
          <w:numId w:val="3"/>
        </w:numPr>
        <w:rPr>
          <w:rtl/>
        </w:rPr>
      </w:pPr>
      <w:r w:rsidRPr="00740479">
        <w:rPr>
          <w:rFonts w:hint="cs"/>
          <w:rtl/>
        </w:rPr>
        <w:t xml:space="preserve">השוו בין הכללים השונים שיצרו החברים לכיתה. </w:t>
      </w:r>
    </w:p>
    <w:p w:rsidR="00D4406E" w:rsidRDefault="00D4406E" w:rsidP="00D4406E">
      <w:pPr>
        <w:pStyle w:val="a3"/>
        <w:numPr>
          <w:ilvl w:val="0"/>
          <w:numId w:val="3"/>
        </w:numPr>
      </w:pPr>
      <w:r>
        <w:rPr>
          <w:rFonts w:hint="cs"/>
          <w:rtl/>
        </w:rPr>
        <w:t>על פי הכלל שקבעתם בדקו האם במקרים הבאים מותר או אסור להדיח את הכלים:</w:t>
      </w:r>
    </w:p>
    <w:p w:rsidR="00D4406E" w:rsidRDefault="00D4406E" w:rsidP="00D4406E">
      <w:pPr>
        <w:pStyle w:val="a3"/>
        <w:rPr>
          <w:rtl/>
        </w:rPr>
      </w:pPr>
    </w:p>
    <w:p w:rsidR="00D4406E" w:rsidRDefault="00D4406E" w:rsidP="00D4406E">
      <w:pPr>
        <w:pStyle w:val="a3"/>
        <w:numPr>
          <w:ilvl w:val="0"/>
          <w:numId w:val="1"/>
        </w:numPr>
      </w:pPr>
      <w:r>
        <w:rPr>
          <w:rFonts w:hint="cs"/>
          <w:rtl/>
        </w:rPr>
        <w:t xml:space="preserve">משפחה סעדה את סעודת השבת בביתם, אך למחרת ביום השבת עתידים היו לצאת מן הבית ולאכול אצל חברים. </w:t>
      </w:r>
    </w:p>
    <w:p w:rsidR="00D4406E" w:rsidRDefault="00D4406E" w:rsidP="00D4406E">
      <w:pPr>
        <w:pStyle w:val="a3"/>
        <w:numPr>
          <w:ilvl w:val="0"/>
          <w:numId w:val="1"/>
        </w:numPr>
      </w:pPr>
      <w:r>
        <w:rPr>
          <w:rFonts w:hint="cs"/>
          <w:rtl/>
        </w:rPr>
        <w:t xml:space="preserve">בית שיש בו כוסות רבות מאוד לשתייה, ובמהלך השבת השתמשו רק בכוסות מועטות. </w:t>
      </w:r>
    </w:p>
    <w:p w:rsidR="00D4406E" w:rsidRDefault="00D4406E" w:rsidP="00D4406E">
      <w:pPr>
        <w:pStyle w:val="a3"/>
        <w:numPr>
          <w:ilvl w:val="0"/>
          <w:numId w:val="1"/>
        </w:numPr>
      </w:pPr>
      <w:r>
        <w:rPr>
          <w:rFonts w:hint="cs"/>
          <w:rtl/>
        </w:rPr>
        <w:t xml:space="preserve">אדם שנהנה מהדחת כלים, והדבר כלל לא גורם לו לחוש טרחה. </w:t>
      </w:r>
    </w:p>
    <w:p w:rsidR="00D4406E" w:rsidRDefault="00D4406E" w:rsidP="00D4406E">
      <w:pPr>
        <w:pStyle w:val="a3"/>
        <w:numPr>
          <w:ilvl w:val="0"/>
          <w:numId w:val="1"/>
        </w:numPr>
      </w:pPr>
      <w:r>
        <w:rPr>
          <w:rFonts w:hint="cs"/>
          <w:rtl/>
        </w:rPr>
        <w:lastRenderedPageBreak/>
        <w:t xml:space="preserve">אדם שמאוד מפריע לו שנותרים כלים לא נקיים, כיוון שהוא רגיל להדיח אותם מיד אחר הארוחה, ולא להשאיר בכלל כלים לא נקיים. </w:t>
      </w:r>
    </w:p>
    <w:p w:rsidR="00D4406E" w:rsidRDefault="00D4406E" w:rsidP="00D4406E">
      <w:pPr>
        <w:rPr>
          <w:b/>
          <w:bCs/>
          <w:highlight w:val="yellow"/>
          <w:rtl/>
        </w:rPr>
      </w:pPr>
    </w:p>
    <w:p w:rsidR="00D4406E" w:rsidRDefault="00D4406E" w:rsidP="00D4406E">
      <w:pPr>
        <w:pStyle w:val="a3"/>
        <w:numPr>
          <w:ilvl w:val="0"/>
          <w:numId w:val="3"/>
        </w:numPr>
      </w:pPr>
      <w:r w:rsidRPr="00774724">
        <w:rPr>
          <w:rFonts w:hint="cs"/>
          <w:rtl/>
        </w:rPr>
        <w:t>חשבו מה הסיבה שבגללה קבעו חכמי המשנה הלכה זו (לא ביחס למקרה הספציפי של הדחת כלים בשבת, אלא באופן כללי יותר).</w:t>
      </w:r>
    </w:p>
    <w:p w:rsidR="00D4406E" w:rsidRDefault="00D4406E" w:rsidP="00D4406E">
      <w:pPr>
        <w:pStyle w:val="a3"/>
        <w:rPr>
          <w:rtl/>
        </w:rPr>
      </w:pPr>
    </w:p>
    <w:p w:rsidR="00D4406E" w:rsidRDefault="00D4406E" w:rsidP="00D4406E">
      <w:pPr>
        <w:rPr>
          <w:b/>
          <w:bCs/>
          <w:highlight w:val="yellow"/>
          <w:rtl/>
        </w:rPr>
      </w:pPr>
    </w:p>
    <w:p w:rsidR="00D4406E" w:rsidRPr="00740479" w:rsidRDefault="00D4406E" w:rsidP="00D4406E">
      <w:pPr>
        <w:rPr>
          <w:b/>
          <w:bCs/>
          <w:highlight w:val="yellow"/>
          <w:rtl/>
        </w:rPr>
      </w:pPr>
      <w:r w:rsidRPr="00740479">
        <w:rPr>
          <w:rFonts w:hint="cs"/>
          <w:b/>
          <w:bCs/>
          <w:highlight w:val="yellow"/>
          <w:rtl/>
        </w:rPr>
        <w:t xml:space="preserve">רלוונטיות: </w:t>
      </w:r>
    </w:p>
    <w:p w:rsidR="00D4406E" w:rsidRPr="009C0004" w:rsidRDefault="00D4406E" w:rsidP="00D4406E">
      <w:pPr>
        <w:rPr>
          <w:rtl/>
        </w:rPr>
      </w:pPr>
      <w:r w:rsidRPr="009C0004">
        <w:rPr>
          <w:rFonts w:hint="cs"/>
          <w:rtl/>
        </w:rPr>
        <w:t xml:space="preserve">לפניכם טעמים שונים שנתנו לדבר במרוצת הדורות על ידי פוסקי הלכה ופרשנים שונים: </w:t>
      </w:r>
    </w:p>
    <w:p w:rsidR="00D4406E" w:rsidRDefault="00D4406E" w:rsidP="00D4406E">
      <w:pPr>
        <w:pStyle w:val="a3"/>
        <w:rPr>
          <w:rtl/>
        </w:rPr>
      </w:pPr>
    </w:p>
    <w:p w:rsidR="00D4406E" w:rsidRDefault="00D4406E" w:rsidP="00D4406E">
      <w:pPr>
        <w:ind w:left="720"/>
        <w:rPr>
          <w:rFonts w:ascii="Arial" w:hAnsi="Arial" w:cs="Arial"/>
          <w:b/>
          <w:bCs/>
          <w:color w:val="222222"/>
          <w:shd w:val="clear" w:color="auto" w:fill="FFFFFF"/>
          <w:rtl/>
        </w:rPr>
      </w:pPr>
      <w:r>
        <w:rPr>
          <w:rFonts w:ascii="Arial" w:hAnsi="Arial" w:cs="Arial" w:hint="cs"/>
          <w:b/>
          <w:bCs/>
          <w:color w:val="222222"/>
          <w:shd w:val="clear" w:color="auto" w:fill="FFFFFF"/>
          <w:rtl/>
        </w:rPr>
        <w:t>"</w:t>
      </w:r>
      <w:r w:rsidRPr="009C0004">
        <w:rPr>
          <w:rFonts w:ascii="Arial" w:hAnsi="Arial" w:cs="Arial"/>
          <w:b/>
          <w:bCs/>
          <w:color w:val="222222"/>
          <w:shd w:val="clear" w:color="auto" w:fill="FFFFFF"/>
          <w:rtl/>
        </w:rPr>
        <w:t>ובכלל האיסור לזלזל בשבת</w:t>
      </w:r>
      <w:r w:rsidRPr="009C0004">
        <w:rPr>
          <w:rFonts w:ascii="Arial" w:hAnsi="Arial" w:cs="Arial" w:hint="cs"/>
          <w:b/>
          <w:bCs/>
          <w:color w:val="222222"/>
          <w:shd w:val="clear" w:color="auto" w:fill="FFFFFF"/>
          <w:rtl/>
        </w:rPr>
        <w:t>:</w:t>
      </w:r>
      <w:r w:rsidRPr="009C0004">
        <w:rPr>
          <w:rFonts w:ascii="Arial" w:hAnsi="Arial" w:cs="Arial"/>
          <w:b/>
          <w:bCs/>
          <w:color w:val="222222"/>
          <w:shd w:val="clear" w:color="auto" w:fill="FFFFFF"/>
          <w:rtl/>
        </w:rPr>
        <w:t xml:space="preserve"> הכנה משבת לחול</w:t>
      </w:r>
      <w:r w:rsidRPr="009C0004">
        <w:rPr>
          <w:rFonts w:ascii="Arial" w:hAnsi="Arial" w:cs="Arial"/>
          <w:b/>
          <w:bCs/>
          <w:color w:val="222222"/>
          <w:shd w:val="clear" w:color="auto" w:fill="FFFFFF"/>
        </w:rPr>
        <w:t>"</w:t>
      </w:r>
      <w:r>
        <w:rPr>
          <w:rFonts w:ascii="Arial" w:hAnsi="Arial" w:cs="Arial" w:hint="cs"/>
          <w:b/>
          <w:bCs/>
          <w:color w:val="222222"/>
          <w:shd w:val="clear" w:color="auto" w:fill="FFFFFF"/>
          <w:rtl/>
        </w:rPr>
        <w:t>.</w:t>
      </w:r>
    </w:p>
    <w:p w:rsidR="00D4406E" w:rsidRPr="0024648E" w:rsidRDefault="00D4406E" w:rsidP="00D4406E">
      <w:pPr>
        <w:ind w:left="720"/>
        <w:jc w:val="right"/>
        <w:rPr>
          <w:rFonts w:ascii="Arial" w:hAnsi="Arial" w:cs="Arial"/>
          <w:color w:val="222222"/>
          <w:shd w:val="clear" w:color="auto" w:fill="FFFFFF"/>
          <w:rtl/>
        </w:rPr>
      </w:pPr>
      <w:r w:rsidRPr="0024648E">
        <w:rPr>
          <w:rFonts w:ascii="Arial" w:hAnsi="Arial" w:cs="Arial" w:hint="cs"/>
          <w:color w:val="222222"/>
          <w:shd w:val="clear" w:color="auto" w:fill="FFFFFF"/>
          <w:rtl/>
        </w:rPr>
        <w:t>(ילקוט מעם לועז, ישעיהו נ"ח, אות ק"ט)</w:t>
      </w:r>
    </w:p>
    <w:p w:rsidR="00D4406E" w:rsidRPr="0024648E" w:rsidRDefault="00D4406E" w:rsidP="00D4406E">
      <w:pPr>
        <w:ind w:left="720"/>
        <w:jc w:val="right"/>
        <w:rPr>
          <w:rFonts w:ascii="Arial" w:hAnsi="Arial" w:cs="Arial"/>
          <w:color w:val="222222"/>
          <w:shd w:val="clear" w:color="auto" w:fill="FFFFFF"/>
          <w:rtl/>
        </w:rPr>
      </w:pPr>
      <w:r w:rsidRPr="0024648E">
        <w:rPr>
          <w:rFonts w:ascii="Arial" w:hAnsi="Arial" w:cs="Arial" w:hint="cs"/>
          <w:color w:val="222222"/>
          <w:shd w:val="clear" w:color="auto" w:fill="FFFFFF"/>
          <w:rtl/>
        </w:rPr>
        <w:t xml:space="preserve">*להרחבה על ילקוט מעם לועז </w:t>
      </w:r>
      <w:r w:rsidRPr="0024648E">
        <w:rPr>
          <w:rFonts w:ascii="Arial" w:hAnsi="Arial" w:cs="Arial"/>
          <w:color w:val="222222"/>
          <w:shd w:val="clear" w:color="auto" w:fill="FFFFFF"/>
          <w:rtl/>
        </w:rPr>
        <w:t>–</w:t>
      </w:r>
      <w:r w:rsidRPr="0024648E">
        <w:rPr>
          <w:rFonts w:ascii="Arial" w:hAnsi="Arial" w:cs="Arial" w:hint="cs"/>
          <w:color w:val="222222"/>
          <w:shd w:val="clear" w:color="auto" w:fill="FFFFFF"/>
          <w:rtl/>
        </w:rPr>
        <w:t xml:space="preserve"> ראו </w:t>
      </w:r>
      <w:proofErr w:type="spellStart"/>
      <w:r w:rsidRPr="0024648E">
        <w:rPr>
          <w:rFonts w:ascii="Arial" w:hAnsi="Arial" w:cs="Arial" w:hint="cs"/>
          <w:color w:val="222222"/>
          <w:shd w:val="clear" w:color="auto" w:fill="FFFFFF"/>
          <w:rtl/>
        </w:rPr>
        <w:t>בתוספתא</w:t>
      </w:r>
      <w:proofErr w:type="spellEnd"/>
      <w:r w:rsidRPr="0024648E">
        <w:rPr>
          <w:rFonts w:ascii="Arial" w:hAnsi="Arial" w:cs="Arial" w:hint="cs"/>
          <w:color w:val="222222"/>
          <w:shd w:val="clear" w:color="auto" w:fill="FFFFFF"/>
          <w:rtl/>
        </w:rPr>
        <w:t xml:space="preserve">. </w:t>
      </w:r>
    </w:p>
    <w:p w:rsidR="00D4406E" w:rsidRDefault="00D4406E" w:rsidP="00D4406E">
      <w:pPr>
        <w:pStyle w:val="a3"/>
        <w:rPr>
          <w:rtl/>
        </w:rPr>
      </w:pPr>
    </w:p>
    <w:p w:rsidR="00D4406E" w:rsidRDefault="00D4406E" w:rsidP="00D4406E">
      <w:pPr>
        <w:pStyle w:val="a3"/>
        <w:rPr>
          <w:rtl/>
        </w:rPr>
      </w:pPr>
    </w:p>
    <w:p w:rsidR="00D4406E" w:rsidRPr="009C0004" w:rsidRDefault="00D4406E" w:rsidP="00D4406E">
      <w:pPr>
        <w:pStyle w:val="a3"/>
        <w:rPr>
          <w:rtl/>
        </w:rPr>
      </w:pPr>
    </w:p>
    <w:p w:rsidR="00D4406E" w:rsidRPr="009C0004" w:rsidRDefault="00D4406E" w:rsidP="00D4406E">
      <w:pPr>
        <w:pStyle w:val="a3"/>
        <w:rPr>
          <w:rFonts w:ascii="Arial" w:hAnsi="Arial" w:cs="Arial"/>
          <w:color w:val="222222"/>
          <w:shd w:val="clear" w:color="auto" w:fill="FFFFFF"/>
          <w:rtl/>
        </w:rPr>
      </w:pPr>
      <w:r w:rsidRPr="009C0004">
        <w:rPr>
          <w:rFonts w:ascii="Arial" w:hAnsi="Arial" w:cs="Arial" w:hint="cs"/>
          <w:color w:val="222222"/>
          <w:shd w:val="clear" w:color="auto" w:fill="FFFFFF"/>
          <w:rtl/>
        </w:rPr>
        <w:t>"</w:t>
      </w:r>
      <w:r w:rsidRPr="009C0004">
        <w:rPr>
          <w:rFonts w:ascii="Arial" w:hAnsi="Arial" w:cs="Arial"/>
          <w:b/>
          <w:bCs/>
          <w:color w:val="222222"/>
          <w:shd w:val="clear" w:color="auto" w:fill="FFFFFF"/>
          <w:rtl/>
        </w:rPr>
        <w:t>ואם יודע שלא יצטרך עוד לאלו הכלים –</w:t>
      </w:r>
      <w:r w:rsidRPr="009C0004">
        <w:rPr>
          <w:rFonts w:ascii="Arial" w:hAnsi="Arial" w:cs="Arial" w:hint="cs"/>
          <w:b/>
          <w:bCs/>
          <w:color w:val="222222"/>
          <w:shd w:val="clear" w:color="auto" w:fill="FFFFFF"/>
          <w:rtl/>
        </w:rPr>
        <w:t xml:space="preserve"> אסור* להדיחן</w:t>
      </w:r>
      <w:r w:rsidRPr="009C0004">
        <w:rPr>
          <w:rFonts w:ascii="Arial" w:hAnsi="Arial" w:cs="Arial" w:hint="cs"/>
          <w:color w:val="222222"/>
          <w:shd w:val="clear" w:color="auto" w:fill="FFFFFF"/>
          <w:rtl/>
        </w:rPr>
        <w:t xml:space="preserve"> </w:t>
      </w:r>
      <w:r w:rsidRPr="009C0004">
        <w:rPr>
          <w:rFonts w:ascii="Arial" w:hAnsi="Arial" w:cs="Arial"/>
          <w:b/>
          <w:bCs/>
          <w:color w:val="222222"/>
          <w:u w:val="single"/>
          <w:shd w:val="clear" w:color="auto" w:fill="FFFFFF"/>
          <w:rtl/>
        </w:rPr>
        <w:t>משום טורח</w:t>
      </w:r>
      <w:r w:rsidRPr="009C0004">
        <w:rPr>
          <w:rFonts w:ascii="Arial" w:hAnsi="Arial" w:cs="Arial" w:hint="cs"/>
          <w:color w:val="222222"/>
          <w:shd w:val="clear" w:color="auto" w:fill="FFFFFF"/>
          <w:rtl/>
        </w:rPr>
        <w:t>"</w:t>
      </w:r>
    </w:p>
    <w:p w:rsidR="00D4406E" w:rsidRPr="009C0004" w:rsidRDefault="00D4406E" w:rsidP="00D4406E">
      <w:pPr>
        <w:jc w:val="right"/>
        <w:rPr>
          <w:rtl/>
        </w:rPr>
      </w:pPr>
      <w:r w:rsidRPr="009C0004">
        <w:rPr>
          <w:rFonts w:hint="cs"/>
          <w:rtl/>
        </w:rPr>
        <w:t xml:space="preserve"> (משנה ברורה, אורח חיים, סימן שכ"ג, סעיף </w:t>
      </w:r>
      <w:proofErr w:type="spellStart"/>
      <w:r w:rsidRPr="009C0004">
        <w:rPr>
          <w:rFonts w:hint="cs"/>
          <w:rtl/>
        </w:rPr>
        <w:t>טן</w:t>
      </w:r>
      <w:proofErr w:type="spellEnd"/>
      <w:r w:rsidRPr="009C0004">
        <w:rPr>
          <w:rFonts w:hint="cs"/>
          <w:rtl/>
        </w:rPr>
        <w:t xml:space="preserve"> </w:t>
      </w:r>
      <w:proofErr w:type="spellStart"/>
      <w:r w:rsidRPr="009C0004">
        <w:rPr>
          <w:rFonts w:hint="cs"/>
          <w:rtl/>
        </w:rPr>
        <w:t>כח</w:t>
      </w:r>
      <w:proofErr w:type="spellEnd"/>
      <w:r w:rsidRPr="009C0004">
        <w:rPr>
          <w:rFonts w:hint="cs"/>
          <w:rtl/>
        </w:rPr>
        <w:t>)</w:t>
      </w:r>
    </w:p>
    <w:p w:rsidR="00D4406E" w:rsidRPr="009C0004" w:rsidRDefault="00D4406E" w:rsidP="00D4406E">
      <w:pPr>
        <w:pStyle w:val="a3"/>
        <w:rPr>
          <w:rtl/>
        </w:rPr>
      </w:pPr>
    </w:p>
    <w:p w:rsidR="00D4406E" w:rsidRPr="009C0004" w:rsidRDefault="00D4406E" w:rsidP="00D4406E">
      <w:pPr>
        <w:pStyle w:val="a3"/>
        <w:rPr>
          <w:rtl/>
        </w:rPr>
      </w:pPr>
      <w:r w:rsidRPr="009C0004">
        <w:rPr>
          <w:rFonts w:hint="cs"/>
          <w:rtl/>
        </w:rPr>
        <w:t xml:space="preserve">*אסור </w:t>
      </w:r>
      <w:r w:rsidRPr="009C0004">
        <w:rPr>
          <w:rtl/>
        </w:rPr>
        <w:t>–</w:t>
      </w:r>
      <w:r w:rsidRPr="009C0004">
        <w:rPr>
          <w:rFonts w:hint="cs"/>
          <w:rtl/>
        </w:rPr>
        <w:t xml:space="preserve"> למרות שכפי שראינו בברייתא נאמר שמותר להדיח את אותם הכלים, מסביר המשנה ברורה שכל זה רק במקרה שבאמת צריכים אותם לסעודה הבאה. אבל אם לא צריך אותם </w:t>
      </w:r>
      <w:r w:rsidRPr="009C0004">
        <w:rPr>
          <w:rtl/>
        </w:rPr>
        <w:t>–</w:t>
      </w:r>
      <w:r w:rsidRPr="009C0004">
        <w:rPr>
          <w:rFonts w:hint="cs"/>
          <w:rtl/>
        </w:rPr>
        <w:t xml:space="preserve"> אסור. </w:t>
      </w:r>
    </w:p>
    <w:p w:rsidR="00D4406E" w:rsidRDefault="00D4406E" w:rsidP="00D4406E">
      <w:pPr>
        <w:pStyle w:val="a3"/>
        <w:rPr>
          <w:rtl/>
        </w:rPr>
      </w:pPr>
    </w:p>
    <w:p w:rsidR="00D4406E" w:rsidRDefault="00D4406E" w:rsidP="00D4406E">
      <w:pPr>
        <w:pStyle w:val="a3"/>
        <w:rPr>
          <w:rtl/>
        </w:rPr>
      </w:pPr>
    </w:p>
    <w:p w:rsidR="00D4406E" w:rsidRPr="009C0004" w:rsidRDefault="00D4406E" w:rsidP="00D4406E">
      <w:pPr>
        <w:pStyle w:val="a3"/>
        <w:rPr>
          <w:rtl/>
        </w:rPr>
      </w:pPr>
    </w:p>
    <w:p w:rsidR="00D4406E" w:rsidRPr="009C0004" w:rsidRDefault="00D4406E" w:rsidP="00D4406E">
      <w:pPr>
        <w:pStyle w:val="a3"/>
        <w:rPr>
          <w:b/>
          <w:bCs/>
          <w:rtl/>
        </w:rPr>
      </w:pPr>
    </w:p>
    <w:p w:rsidR="00D4406E" w:rsidRPr="009C0004" w:rsidRDefault="00D4406E" w:rsidP="00D4406E">
      <w:pPr>
        <w:pStyle w:val="a3"/>
        <w:rPr>
          <w:b/>
          <w:bCs/>
          <w:rtl/>
        </w:rPr>
      </w:pPr>
      <w:r w:rsidRPr="009C0004">
        <w:rPr>
          <w:rFonts w:ascii="Arial" w:hAnsi="Arial" w:cs="Arial" w:hint="cs"/>
          <w:b/>
          <w:bCs/>
          <w:color w:val="222222"/>
          <w:shd w:val="clear" w:color="auto" w:fill="FFFFFF"/>
          <w:rtl/>
        </w:rPr>
        <w:t>"</w:t>
      </w:r>
      <w:r w:rsidRPr="009C0004">
        <w:rPr>
          <w:rFonts w:ascii="Arial" w:hAnsi="Arial" w:cs="Arial"/>
          <w:b/>
          <w:bCs/>
          <w:color w:val="222222"/>
          <w:shd w:val="clear" w:color="auto" w:fill="FFFFFF"/>
          <w:rtl/>
        </w:rPr>
        <w:t xml:space="preserve">ואסור להדיח קערות </w:t>
      </w:r>
      <w:proofErr w:type="spellStart"/>
      <w:r w:rsidRPr="009C0004">
        <w:rPr>
          <w:rFonts w:ascii="Arial" w:hAnsi="Arial" w:cs="Arial"/>
          <w:b/>
          <w:bCs/>
          <w:color w:val="222222"/>
          <w:shd w:val="clear" w:color="auto" w:fill="FFFFFF"/>
          <w:rtl/>
        </w:rPr>
        <w:t>ואלפסין</w:t>
      </w:r>
      <w:proofErr w:type="spellEnd"/>
      <w:r w:rsidRPr="009C0004">
        <w:rPr>
          <w:rFonts w:ascii="Arial" w:hAnsi="Arial" w:cs="Arial"/>
          <w:b/>
          <w:bCs/>
          <w:color w:val="222222"/>
          <w:shd w:val="clear" w:color="auto" w:fill="FFFFFF"/>
          <w:rtl/>
        </w:rPr>
        <w:t xml:space="preserve"> וכיוצא בהן מפני שהוא</w:t>
      </w:r>
      <w:r w:rsidRPr="009C0004">
        <w:rPr>
          <w:rFonts w:ascii="Arial" w:hAnsi="Arial" w:cs="Arial"/>
          <w:b/>
          <w:bCs/>
          <w:color w:val="222222"/>
          <w:u w:val="single"/>
          <w:shd w:val="clear" w:color="auto" w:fill="FFFFFF"/>
          <w:rtl/>
        </w:rPr>
        <w:t xml:space="preserve"> כמתקן</w:t>
      </w:r>
      <w:r w:rsidRPr="009C0004">
        <w:rPr>
          <w:rFonts w:ascii="Arial" w:hAnsi="Arial" w:cs="Arial" w:hint="cs"/>
          <w:b/>
          <w:bCs/>
          <w:color w:val="222222"/>
          <w:shd w:val="clear" w:color="auto" w:fill="FFFFFF"/>
          <w:rtl/>
        </w:rPr>
        <w:t>*</w:t>
      </w:r>
      <w:r w:rsidRPr="009C0004">
        <w:rPr>
          <w:rFonts w:ascii="Arial" w:hAnsi="Arial" w:cs="Arial"/>
          <w:b/>
          <w:bCs/>
          <w:color w:val="222222"/>
          <w:shd w:val="clear" w:color="auto" w:fill="FFFFFF"/>
          <w:rtl/>
        </w:rPr>
        <w:t xml:space="preserve"> אא"כ הדיחן לאכול בהן סעודה אחרת באותה שבת</w:t>
      </w:r>
      <w:r w:rsidRPr="009C0004">
        <w:rPr>
          <w:rFonts w:hint="cs"/>
          <w:b/>
          <w:bCs/>
          <w:rtl/>
        </w:rPr>
        <w:t xml:space="preserve">". </w:t>
      </w:r>
    </w:p>
    <w:p w:rsidR="00D4406E" w:rsidRPr="009C0004" w:rsidRDefault="00D4406E" w:rsidP="00D4406E">
      <w:pPr>
        <w:jc w:val="right"/>
        <w:rPr>
          <w:rtl/>
        </w:rPr>
      </w:pPr>
      <w:r w:rsidRPr="009C0004">
        <w:rPr>
          <w:rFonts w:ascii="Arial" w:hAnsi="Arial" w:cs="Arial" w:hint="cs"/>
          <w:color w:val="222222"/>
          <w:shd w:val="clear" w:color="auto" w:fill="FFFFFF"/>
          <w:rtl/>
        </w:rPr>
        <w:t xml:space="preserve"> (משנה תורה לרמב"ם, הלכות שבת, פרק כ"ג הלכה ז)</w:t>
      </w:r>
    </w:p>
    <w:p w:rsidR="00D4406E" w:rsidRDefault="00D4406E" w:rsidP="00D4406E">
      <w:pPr>
        <w:pStyle w:val="a3"/>
        <w:rPr>
          <w:rtl/>
        </w:rPr>
      </w:pPr>
    </w:p>
    <w:p w:rsidR="00D4406E" w:rsidRDefault="00D4406E" w:rsidP="00D4406E">
      <w:pPr>
        <w:pStyle w:val="a3"/>
        <w:rPr>
          <w:rtl/>
        </w:rPr>
      </w:pPr>
      <w:r>
        <w:rPr>
          <w:rFonts w:hint="cs"/>
          <w:rtl/>
        </w:rPr>
        <w:t>*</w:t>
      </w:r>
      <w:r w:rsidRPr="009C0004">
        <w:rPr>
          <w:rFonts w:hint="cs"/>
          <w:b/>
          <w:bCs/>
          <w:rtl/>
        </w:rPr>
        <w:t>כמתקן</w:t>
      </w:r>
      <w:r>
        <w:rPr>
          <w:rFonts w:hint="cs"/>
          <w:rtl/>
        </w:rPr>
        <w:t xml:space="preserve"> </w:t>
      </w:r>
      <w:r>
        <w:rPr>
          <w:rtl/>
        </w:rPr>
        <w:t>–</w:t>
      </w:r>
      <w:r>
        <w:rPr>
          <w:rFonts w:hint="cs"/>
          <w:rtl/>
        </w:rPr>
        <w:t xml:space="preserve"> כמתקן כלי, כלומר שיש כאן היבט מסוים של עשיית מלאכה שאסורה בשבת, שהיא יצירת כלי חדש. </w:t>
      </w:r>
    </w:p>
    <w:p w:rsidR="00D4406E" w:rsidRDefault="00D4406E" w:rsidP="00D4406E">
      <w:pPr>
        <w:pStyle w:val="a3"/>
        <w:rPr>
          <w:rtl/>
        </w:rPr>
      </w:pPr>
      <w:r>
        <w:rPr>
          <w:rFonts w:hint="cs"/>
          <w:rtl/>
        </w:rPr>
        <w:t xml:space="preserve">אמנם לא מדובר ביצירה של כלי ממש, אבל כיוון שהכלי המלוכלך אינו ראוי לשימוש, כאשר שוטפים אותו למעשה הופכים אותו לראוי לשימוש וזה במידה מסוימת דומה ליצירה של כלי חדש. </w:t>
      </w:r>
    </w:p>
    <w:p w:rsidR="00D4406E" w:rsidRDefault="00D4406E" w:rsidP="00D4406E">
      <w:pPr>
        <w:pStyle w:val="a3"/>
        <w:rPr>
          <w:rtl/>
        </w:rPr>
      </w:pPr>
    </w:p>
    <w:p w:rsidR="00D4406E" w:rsidRDefault="00D4406E" w:rsidP="00D4406E">
      <w:pPr>
        <w:pStyle w:val="a3"/>
        <w:rPr>
          <w:rtl/>
        </w:rPr>
      </w:pPr>
    </w:p>
    <w:p w:rsidR="00D4406E" w:rsidRDefault="00D4406E" w:rsidP="00D4406E">
      <w:pPr>
        <w:pStyle w:val="a3"/>
        <w:numPr>
          <w:ilvl w:val="0"/>
          <w:numId w:val="3"/>
        </w:numPr>
        <w:rPr>
          <w:rtl/>
        </w:rPr>
      </w:pPr>
      <w:r>
        <w:rPr>
          <w:rFonts w:hint="cs"/>
          <w:rtl/>
        </w:rPr>
        <w:t>מה דעתכם על כל אחד מהנימוקים?</w:t>
      </w:r>
    </w:p>
    <w:p w:rsidR="00D4406E" w:rsidRDefault="00D4406E" w:rsidP="00D4406E">
      <w:pPr>
        <w:pStyle w:val="a3"/>
        <w:numPr>
          <w:ilvl w:val="0"/>
          <w:numId w:val="3"/>
        </w:numPr>
        <w:rPr>
          <w:rtl/>
        </w:rPr>
      </w:pPr>
      <w:r>
        <w:rPr>
          <w:rFonts w:hint="cs"/>
          <w:rtl/>
        </w:rPr>
        <w:lastRenderedPageBreak/>
        <w:t xml:space="preserve">האם אתם מזדהים עם ההיגיון של הלכה זו, המשתקף באחת הפרשנויות שנתנו לה? מדוע? </w:t>
      </w:r>
    </w:p>
    <w:p w:rsidR="00D4406E" w:rsidRDefault="00D4406E" w:rsidP="00D4406E">
      <w:pPr>
        <w:pStyle w:val="a3"/>
        <w:numPr>
          <w:ilvl w:val="0"/>
          <w:numId w:val="3"/>
        </w:numPr>
        <w:rPr>
          <w:rtl/>
        </w:rPr>
      </w:pPr>
      <w:r>
        <w:rPr>
          <w:rFonts w:hint="cs"/>
          <w:rtl/>
        </w:rPr>
        <w:t xml:space="preserve">בדומה לרעיונות רבים אחרים, פעמים רבות שהשאלה היא איננה </w:t>
      </w:r>
      <w:r>
        <w:rPr>
          <w:rtl/>
        </w:rPr>
        <w:t>–</w:t>
      </w:r>
      <w:r>
        <w:rPr>
          <w:rFonts w:hint="cs"/>
          <w:rtl/>
        </w:rPr>
        <w:t xml:space="preserve"> האם הדבר נכון או לא נכון, אלא מה היחס שלנו לעניין בהקשר ספציפי. למשל, אדם יכול להימנע מהכנה מקודש לחול במובן הזה שהוא לא יכין במהלך השבת דברים הקשורים בענייני העבודה שלו (אפילו אם אלו לא כרוכים בחילול שבת) אבל הוא כן יסדר את הבית, גם אם זה במידה רבה לא בעבור השבת עצמה, אלא כדי שלא יצטרך לסדר מאוחר בלילה בצאת השבת. </w:t>
      </w:r>
    </w:p>
    <w:p w:rsidR="00D4406E" w:rsidRPr="00774724" w:rsidRDefault="00D4406E" w:rsidP="00D4406E">
      <w:pPr>
        <w:pStyle w:val="a3"/>
        <w:numPr>
          <w:ilvl w:val="0"/>
          <w:numId w:val="3"/>
        </w:numPr>
        <w:rPr>
          <w:rtl/>
        </w:rPr>
      </w:pPr>
      <w:r>
        <w:rPr>
          <w:rFonts w:hint="cs"/>
          <w:rtl/>
        </w:rPr>
        <w:t xml:space="preserve">חשבו על פעולות שלדעתכם נכון בהן להימנע מלהכין מקודש לחול (אם יש כאלו), ועל פעולות שלדעתכם אין זה נכון (אם יש כאלו. </w:t>
      </w:r>
    </w:p>
    <w:p w:rsidR="00D4406E" w:rsidRDefault="00D4406E" w:rsidP="00D4406E">
      <w:pPr>
        <w:rPr>
          <w:rtl/>
        </w:rPr>
      </w:pPr>
    </w:p>
    <w:p w:rsidR="00D4406E" w:rsidRDefault="00D4406E" w:rsidP="00D4406E">
      <w:pPr>
        <w:rPr>
          <w:rtl/>
        </w:rPr>
      </w:pPr>
    </w:p>
    <w:p w:rsidR="00D4406E" w:rsidRDefault="00D4406E" w:rsidP="00D4406E">
      <w:pPr>
        <w:rPr>
          <w:b/>
          <w:bCs/>
          <w:rtl/>
        </w:rPr>
      </w:pPr>
      <w:proofErr w:type="spellStart"/>
      <w:r w:rsidRPr="0024648E">
        <w:rPr>
          <w:rFonts w:hint="cs"/>
          <w:b/>
          <w:bCs/>
          <w:highlight w:val="yellow"/>
          <w:rtl/>
        </w:rPr>
        <w:t>תוספתא</w:t>
      </w:r>
      <w:proofErr w:type="spellEnd"/>
      <w:r w:rsidRPr="0024648E">
        <w:rPr>
          <w:rFonts w:hint="cs"/>
          <w:b/>
          <w:bCs/>
          <w:highlight w:val="yellow"/>
          <w:rtl/>
        </w:rPr>
        <w:t>:</w:t>
      </w:r>
    </w:p>
    <w:p w:rsidR="00D4406E" w:rsidRPr="0024648E" w:rsidRDefault="00D4406E" w:rsidP="00D4406E">
      <w:pPr>
        <w:rPr>
          <w:rtl/>
        </w:rPr>
      </w:pPr>
      <w:r w:rsidRPr="0024648E">
        <w:rPr>
          <w:rFonts w:hint="cs"/>
          <w:b/>
          <w:bCs/>
          <w:rtl/>
        </w:rPr>
        <w:t>ילקוט מעם לועז</w:t>
      </w:r>
      <w:r w:rsidRPr="0024648E">
        <w:rPr>
          <w:rFonts w:hint="cs"/>
          <w:rtl/>
        </w:rPr>
        <w:t xml:space="preserve"> הוא אוסף מדרשים, אגדות ביאורים והלכות קצרות הכתובים בלשון פשוטה ועממית שנאספו סביב המקרא, פרקי אבות והגדה של פסח.</w:t>
      </w:r>
      <w:r>
        <w:rPr>
          <w:rFonts w:hint="cs"/>
          <w:rtl/>
        </w:rPr>
        <w:t xml:space="preserve"> הספר נוצר במהלך המאה ה-18. </w:t>
      </w:r>
      <w:r w:rsidRPr="0024648E">
        <w:rPr>
          <w:rFonts w:hint="cs"/>
          <w:rtl/>
        </w:rPr>
        <w:t xml:space="preserve"> </w:t>
      </w:r>
    </w:p>
    <w:p w:rsidR="00D4406E" w:rsidRPr="0024648E" w:rsidRDefault="00D4406E" w:rsidP="00D4406E">
      <w:pPr>
        <w:rPr>
          <w:rtl/>
        </w:rPr>
      </w:pPr>
      <w:r w:rsidRPr="0024648E">
        <w:rPr>
          <w:rFonts w:hint="cs"/>
          <w:rtl/>
        </w:rPr>
        <w:t xml:space="preserve">הספר היה לאחד הספרים המרכזים בקרב קהילות ספרד במשך מאות בשנים שהשתמשו בהם כספר לימוד משפחתי </w:t>
      </w:r>
      <w:r w:rsidRPr="0024648E">
        <w:rPr>
          <w:rtl/>
        </w:rPr>
        <w:t>–</w:t>
      </w:r>
      <w:r w:rsidRPr="0024648E">
        <w:rPr>
          <w:rFonts w:hint="cs"/>
          <w:rtl/>
        </w:rPr>
        <w:t xml:space="preserve"> סביב שולחן השבת וכספר לימוד של ההורים על ילדיהם, במהלך השבוע ואפילו כ"סיפור לפני השינה" לילדים. </w:t>
      </w:r>
    </w:p>
    <w:p w:rsidR="00D4406E" w:rsidRDefault="00D4406E" w:rsidP="00D4406E">
      <w:pPr>
        <w:rPr>
          <w:rtl/>
        </w:rPr>
      </w:pPr>
      <w:r w:rsidRPr="0024648E">
        <w:rPr>
          <w:rFonts w:hint="cs"/>
          <w:rtl/>
        </w:rPr>
        <w:t xml:space="preserve">הספר נכתב בראשיתו בשפת </w:t>
      </w:r>
      <w:proofErr w:type="spellStart"/>
      <w:r w:rsidRPr="0024648E">
        <w:rPr>
          <w:rFonts w:hint="cs"/>
          <w:rtl/>
        </w:rPr>
        <w:t>הלאדינו</w:t>
      </w:r>
      <w:proofErr w:type="spellEnd"/>
      <w:r w:rsidRPr="0024648E">
        <w:rPr>
          <w:rFonts w:hint="cs"/>
          <w:rtl/>
        </w:rPr>
        <w:t xml:space="preserve"> "השפה היהודית" המרכזית של בני הקהילות הספרדיות במהלך מאות שנות הגלות האחרונות. </w:t>
      </w:r>
    </w:p>
    <w:p w:rsidR="00D4406E" w:rsidRPr="0024648E" w:rsidRDefault="00D4406E" w:rsidP="00D4406E">
      <w:pPr>
        <w:rPr>
          <w:rtl/>
        </w:rPr>
      </w:pPr>
      <w:r>
        <w:rPr>
          <w:rFonts w:hint="cs"/>
          <w:rtl/>
        </w:rPr>
        <w:t xml:space="preserve">את חלקיו הראשון חיבר החכם רבי יעקב כולי, וחכמים שונים המשיכו אותו: רבי יצחק </w:t>
      </w:r>
      <w:proofErr w:type="spellStart"/>
      <w:r>
        <w:rPr>
          <w:rFonts w:hint="cs"/>
          <w:rtl/>
        </w:rPr>
        <w:t>מארגיסו</w:t>
      </w:r>
      <w:proofErr w:type="spellEnd"/>
      <w:r>
        <w:rPr>
          <w:rFonts w:hint="cs"/>
          <w:rtl/>
        </w:rPr>
        <w:t xml:space="preserve">, רבי יצחק </w:t>
      </w:r>
      <w:proofErr w:type="spellStart"/>
      <w:r>
        <w:rPr>
          <w:rFonts w:hint="cs"/>
          <w:rtl/>
        </w:rPr>
        <w:t>ארגוטיטי</w:t>
      </w:r>
      <w:proofErr w:type="spellEnd"/>
      <w:r>
        <w:rPr>
          <w:rFonts w:hint="cs"/>
          <w:rtl/>
        </w:rPr>
        <w:t xml:space="preserve"> ואחרים. </w:t>
      </w:r>
    </w:p>
    <w:p w:rsidR="00D4406E" w:rsidRPr="0024648E" w:rsidRDefault="00D4406E" w:rsidP="00D4406E">
      <w:pPr>
        <w:rPr>
          <w:rtl/>
        </w:rPr>
      </w:pPr>
    </w:p>
    <w:p w:rsidR="00F15FB7" w:rsidRPr="00D4406E" w:rsidRDefault="00F15FB7" w:rsidP="00D4406E"/>
    <w:sectPr w:rsidR="00F15FB7" w:rsidRPr="00D4406E" w:rsidSect="00535A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15" w:rsidRDefault="00246415" w:rsidP="00D4406E">
      <w:pPr>
        <w:spacing w:after="0" w:line="240" w:lineRule="auto"/>
      </w:pPr>
      <w:r>
        <w:separator/>
      </w:r>
    </w:p>
  </w:endnote>
  <w:endnote w:type="continuationSeparator" w:id="0">
    <w:p w:rsidR="00246415" w:rsidRDefault="00246415" w:rsidP="00D4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E" w:rsidRDefault="00D440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E" w:rsidRDefault="00D4406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E" w:rsidRDefault="00D440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15" w:rsidRDefault="00246415" w:rsidP="00D4406E">
      <w:pPr>
        <w:spacing w:after="0" w:line="240" w:lineRule="auto"/>
      </w:pPr>
      <w:r>
        <w:separator/>
      </w:r>
    </w:p>
  </w:footnote>
  <w:footnote w:type="continuationSeparator" w:id="0">
    <w:p w:rsidR="00246415" w:rsidRDefault="00246415" w:rsidP="00D4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E" w:rsidRDefault="00D440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E" w:rsidRDefault="00D4406E">
    <w:pPr>
      <w:pStyle w:val="a5"/>
    </w:pPr>
    <w:bookmarkStart w:id="0" w:name="_GoBack"/>
    <w:r>
      <w:rPr>
        <w:rFonts w:cs="Arial"/>
        <w:noProof/>
        <w:rtl/>
      </w:rPr>
      <w:drawing>
        <wp:anchor distT="0" distB="0" distL="114300" distR="114300" simplePos="0" relativeHeight="251659264" behindDoc="0" locked="0" layoutInCell="1" allowOverlap="1" wp14:anchorId="33D0D5C1" wp14:editId="6DA50E60">
          <wp:simplePos x="0" y="0"/>
          <wp:positionH relativeFrom="column">
            <wp:posOffset>-1144994</wp:posOffset>
          </wp:positionH>
          <wp:positionV relativeFrom="paragraph">
            <wp:posOffset>-439509</wp:posOffset>
          </wp:positionV>
          <wp:extent cx="2078182" cy="1014722"/>
          <wp:effectExtent l="0" t="0" r="0" b="0"/>
          <wp:wrapNone/>
          <wp:docPr id="36" name="תמונה 36" descr="C:\Users\hp\Downloads\לוגו סופי מיתרים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Downloads\לוגו סופי מיתרים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8182" cy="101472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E" w:rsidRDefault="00D440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489"/>
    <w:multiLevelType w:val="hybridMultilevel"/>
    <w:tmpl w:val="B52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B0E86"/>
    <w:multiLevelType w:val="hybridMultilevel"/>
    <w:tmpl w:val="BFF4A498"/>
    <w:lvl w:ilvl="0" w:tplc="EF58B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F64"/>
    <w:multiLevelType w:val="hybridMultilevel"/>
    <w:tmpl w:val="CA5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E"/>
    <w:rsid w:val="00246415"/>
    <w:rsid w:val="00535A37"/>
    <w:rsid w:val="00D4406E"/>
    <w:rsid w:val="00F15F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06E"/>
    <w:pPr>
      <w:ind w:left="720"/>
      <w:contextualSpacing/>
    </w:pPr>
  </w:style>
  <w:style w:type="paragraph" w:styleId="a4">
    <w:name w:val="No Spacing"/>
    <w:uiPriority w:val="1"/>
    <w:qFormat/>
    <w:rsid w:val="00D4406E"/>
    <w:pPr>
      <w:bidi/>
      <w:spacing w:after="0" w:line="240" w:lineRule="auto"/>
    </w:pPr>
  </w:style>
  <w:style w:type="paragraph" w:styleId="a5">
    <w:name w:val="header"/>
    <w:basedOn w:val="a"/>
    <w:link w:val="a6"/>
    <w:uiPriority w:val="99"/>
    <w:unhideWhenUsed/>
    <w:rsid w:val="00D4406E"/>
    <w:pPr>
      <w:tabs>
        <w:tab w:val="center" w:pos="4153"/>
        <w:tab w:val="right" w:pos="8306"/>
      </w:tabs>
      <w:spacing w:after="0" w:line="240" w:lineRule="auto"/>
    </w:pPr>
  </w:style>
  <w:style w:type="character" w:customStyle="1" w:styleId="a6">
    <w:name w:val="כותרת עליונה תו"/>
    <w:basedOn w:val="a0"/>
    <w:link w:val="a5"/>
    <w:uiPriority w:val="99"/>
    <w:rsid w:val="00D4406E"/>
  </w:style>
  <w:style w:type="paragraph" w:styleId="a7">
    <w:name w:val="footer"/>
    <w:basedOn w:val="a"/>
    <w:link w:val="a8"/>
    <w:uiPriority w:val="99"/>
    <w:unhideWhenUsed/>
    <w:rsid w:val="00D4406E"/>
    <w:pPr>
      <w:tabs>
        <w:tab w:val="center" w:pos="4153"/>
        <w:tab w:val="right" w:pos="8306"/>
      </w:tabs>
      <w:spacing w:after="0" w:line="240" w:lineRule="auto"/>
    </w:pPr>
  </w:style>
  <w:style w:type="character" w:customStyle="1" w:styleId="a8">
    <w:name w:val="כותרת תחתונה תו"/>
    <w:basedOn w:val="a0"/>
    <w:link w:val="a7"/>
    <w:uiPriority w:val="99"/>
    <w:rsid w:val="00D44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06E"/>
    <w:pPr>
      <w:ind w:left="720"/>
      <w:contextualSpacing/>
    </w:pPr>
  </w:style>
  <w:style w:type="paragraph" w:styleId="a4">
    <w:name w:val="No Spacing"/>
    <w:uiPriority w:val="1"/>
    <w:qFormat/>
    <w:rsid w:val="00D4406E"/>
    <w:pPr>
      <w:bidi/>
      <w:spacing w:after="0" w:line="240" w:lineRule="auto"/>
    </w:pPr>
  </w:style>
  <w:style w:type="paragraph" w:styleId="a5">
    <w:name w:val="header"/>
    <w:basedOn w:val="a"/>
    <w:link w:val="a6"/>
    <w:uiPriority w:val="99"/>
    <w:unhideWhenUsed/>
    <w:rsid w:val="00D4406E"/>
    <w:pPr>
      <w:tabs>
        <w:tab w:val="center" w:pos="4153"/>
        <w:tab w:val="right" w:pos="8306"/>
      </w:tabs>
      <w:spacing w:after="0" w:line="240" w:lineRule="auto"/>
    </w:pPr>
  </w:style>
  <w:style w:type="character" w:customStyle="1" w:styleId="a6">
    <w:name w:val="כותרת עליונה תו"/>
    <w:basedOn w:val="a0"/>
    <w:link w:val="a5"/>
    <w:uiPriority w:val="99"/>
    <w:rsid w:val="00D4406E"/>
  </w:style>
  <w:style w:type="paragraph" w:styleId="a7">
    <w:name w:val="footer"/>
    <w:basedOn w:val="a"/>
    <w:link w:val="a8"/>
    <w:uiPriority w:val="99"/>
    <w:unhideWhenUsed/>
    <w:rsid w:val="00D4406E"/>
    <w:pPr>
      <w:tabs>
        <w:tab w:val="center" w:pos="4153"/>
        <w:tab w:val="right" w:pos="8306"/>
      </w:tabs>
      <w:spacing w:after="0" w:line="240" w:lineRule="auto"/>
    </w:pPr>
  </w:style>
  <w:style w:type="character" w:customStyle="1" w:styleId="a8">
    <w:name w:val="כותרת תחתונה תו"/>
    <w:basedOn w:val="a0"/>
    <w:link w:val="a7"/>
    <w:uiPriority w:val="99"/>
    <w:rsid w:val="00D4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3035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2018-09-23T05:48:00Z</dcterms:created>
  <dcterms:modified xsi:type="dcterms:W3CDTF">2018-09-23T05:48:00Z</dcterms:modified>
</cp:coreProperties>
</file>