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94" w:rsidRPr="006E5BCE" w:rsidRDefault="006E5BCE" w:rsidP="006E5BCE">
      <w:pPr>
        <w:jc w:val="center"/>
        <w:rPr>
          <w:rFonts w:hint="cs"/>
          <w:b/>
          <w:bCs/>
          <w:sz w:val="28"/>
          <w:szCs w:val="28"/>
          <w:rtl/>
        </w:rPr>
      </w:pPr>
      <w:r w:rsidRPr="006E5BCE">
        <w:rPr>
          <w:rFonts w:hint="cs"/>
          <w:b/>
          <w:bCs/>
          <w:sz w:val="28"/>
          <w:szCs w:val="28"/>
          <w:rtl/>
        </w:rPr>
        <w:t>השכנת שלום:</w:t>
      </w:r>
    </w:p>
    <w:p w:rsidR="006E5BCE" w:rsidRPr="006E5BCE" w:rsidRDefault="006E5BCE">
      <w:pPr>
        <w:rPr>
          <w:rFonts w:hint="cs"/>
          <w:b/>
          <w:bCs/>
          <w:rtl/>
        </w:rPr>
      </w:pPr>
      <w:r w:rsidRPr="006E5BCE">
        <w:rPr>
          <w:rFonts w:hint="cs"/>
          <w:b/>
          <w:bCs/>
          <w:highlight w:val="yellow"/>
          <w:rtl/>
        </w:rPr>
        <w:t>קריאת כיוון:</w:t>
      </w:r>
    </w:p>
    <w:p w:rsidR="006E5BCE" w:rsidRDefault="00D67682" w:rsidP="00D67682">
      <w:pPr>
        <w:rPr>
          <w:rFonts w:hint="cs"/>
          <w:rtl/>
        </w:rPr>
      </w:pPr>
      <w:r>
        <w:rPr>
          <w:rFonts w:hint="cs"/>
          <w:rtl/>
        </w:rPr>
        <w:t xml:space="preserve">ביחידה זו נעסוק בחשיבות הרבה שיש להשכנת השלום בין אדם לחברו במסורת היהודית, תוך השוואה למנהגים הקיימים בתרבויות אחרות, במטרה להביא להשכנת שלום. ב"רלוונטיות" נבחן כיצד ניתן ליישם ערך זה בכיתה. </w:t>
      </w:r>
      <w:proofErr w:type="spellStart"/>
      <w:r w:rsidR="006E5BCE">
        <w:rPr>
          <w:rFonts w:hint="cs"/>
          <w:rtl/>
        </w:rPr>
        <w:t>ו"בתוספתא</w:t>
      </w:r>
      <w:proofErr w:type="spellEnd"/>
      <w:r w:rsidR="006E5BCE">
        <w:rPr>
          <w:rFonts w:hint="cs"/>
          <w:rtl/>
        </w:rPr>
        <w:t>"</w:t>
      </w:r>
      <w:r>
        <w:rPr>
          <w:rFonts w:hint="cs"/>
          <w:rtl/>
        </w:rPr>
        <w:t xml:space="preserve"> נרחיב על דמותו של חכם שלום יצחק הלוי. </w:t>
      </w:r>
    </w:p>
    <w:p w:rsidR="00D67682" w:rsidRDefault="00D67682">
      <w:pPr>
        <w:rPr>
          <w:rFonts w:hint="cs"/>
          <w:rtl/>
        </w:rPr>
      </w:pPr>
    </w:p>
    <w:p w:rsidR="006E5BCE" w:rsidRPr="006E5BCE" w:rsidRDefault="006E5BCE" w:rsidP="006E5BCE">
      <w:pPr>
        <w:rPr>
          <w:rFonts w:hint="cs"/>
          <w:b/>
          <w:bCs/>
          <w:rtl/>
        </w:rPr>
      </w:pPr>
      <w:r w:rsidRPr="006E5BCE">
        <w:rPr>
          <w:rFonts w:hint="cs"/>
          <w:b/>
          <w:bCs/>
          <w:highlight w:val="yellow"/>
          <w:rtl/>
        </w:rPr>
        <w:t>טקסט מרכזי:</w:t>
      </w:r>
    </w:p>
    <w:p w:rsidR="00D90AB4" w:rsidRPr="00D90AB4" w:rsidRDefault="006E5BCE" w:rsidP="00D90AB4">
      <w:pPr>
        <w:pStyle w:val="a6"/>
        <w:rPr>
          <w:rFonts w:hint="cs"/>
          <w:b/>
          <w:bCs/>
          <w:rtl/>
        </w:rPr>
      </w:pPr>
      <w:r w:rsidRPr="00D90AB4">
        <w:rPr>
          <w:b/>
          <w:bCs/>
          <w:rtl/>
        </w:rPr>
        <w:t>נשאל נשאלתי מאחי מאיר, השם יחיהו וישמרהו, על טקס חגיגה הנקראת בערבית "צולחה" (כלומר השכנת שלום בין יריבים) שנעשה בראש העין פה בארץ ישראל על ידי יהודים תימנים. וכך הוא המנהג: כי יהיה ריב בין אנשים וניגשו לעשות שלום ביניהם, קובעים יום הפגישה ומקום הפגישה, אחרי זה היריבים מצד באים מדרך מזרחה (למשל) והצד השני באים מולם מדרך אחרת ונפגשים פנים בפנים באמצע הדרך ומחבקים זה את זה ומנשקים זה לזה. ועל המקום שוחטים הבמה המיועדת כבר לזה, והולכים הביתה כולם ביחד בשמחה וגילה ועושים סעודה גדולה ואכלים ושותים ושמחים יחד עם מרעיהם. וטקס חגיגה זו נהוג בין הערבים בעת השכנת שלום בין היריבים, ולכן השאלה עומדת אם זה אסור משום 'ולא תלכו בחקות הגויים' או לא</w:t>
      </w:r>
      <w:r w:rsidR="00D90AB4" w:rsidRPr="00D90AB4">
        <w:rPr>
          <w:rFonts w:hint="cs"/>
          <w:b/>
          <w:bCs/>
          <w:rtl/>
        </w:rPr>
        <w:t>?...</w:t>
      </w:r>
    </w:p>
    <w:p w:rsidR="00D90AB4" w:rsidRPr="00D90AB4" w:rsidRDefault="006E5BCE" w:rsidP="00D90AB4">
      <w:pPr>
        <w:pStyle w:val="a6"/>
        <w:rPr>
          <w:rFonts w:hint="cs"/>
          <w:b/>
          <w:bCs/>
          <w:rtl/>
        </w:rPr>
      </w:pPr>
      <w:r w:rsidRPr="00D90AB4">
        <w:rPr>
          <w:b/>
          <w:bCs/>
        </w:rPr>
        <w:br/>
      </w:r>
      <w:r w:rsidRPr="00D90AB4">
        <w:rPr>
          <w:b/>
          <w:bCs/>
          <w:rtl/>
        </w:rPr>
        <w:t>מה שאין כן כאן במנהג זה שאין בו שום חשש מכל זה. ואם נניח שמנהג זה לקוח מן הערבים, הלא המה כופרים בעבודה זרה ומאמינים בה' כמונו וכ</w:t>
      </w:r>
      <w:r w:rsidR="00D90AB4" w:rsidRPr="00D90AB4">
        <w:rPr>
          <w:b/>
          <w:bCs/>
          <w:rtl/>
        </w:rPr>
        <w:t>מו שכתב הרמב"ם ז"ל בתשובותיו סי</w:t>
      </w:r>
      <w:r w:rsidR="00D90AB4" w:rsidRPr="00D90AB4">
        <w:rPr>
          <w:rFonts w:hint="cs"/>
          <w:b/>
          <w:bCs/>
          <w:rtl/>
        </w:rPr>
        <w:t>מן</w:t>
      </w:r>
      <w:r w:rsidRPr="00D90AB4">
        <w:rPr>
          <w:b/>
          <w:bCs/>
          <w:rtl/>
        </w:rPr>
        <w:t xml:space="preserve"> שצ"ט. </w:t>
      </w:r>
    </w:p>
    <w:p w:rsidR="006E5BCE" w:rsidRPr="00D90AB4" w:rsidRDefault="006E5BCE" w:rsidP="00D90AB4">
      <w:pPr>
        <w:pStyle w:val="a6"/>
        <w:rPr>
          <w:b/>
          <w:bCs/>
        </w:rPr>
      </w:pPr>
      <w:r w:rsidRPr="00D90AB4">
        <w:rPr>
          <w:b/>
          <w:bCs/>
          <w:rtl/>
        </w:rPr>
        <w:t>ולכן אין כאן חשש של מנהג המטעה את היהודי לאמונה כוזבת, וגם אין בו הטעם של פריצות היוצא מגדר הצניעות, אדרבא יש בו משום השכנת שלום בין יריבים אשר אין ערוך אליו כמאמר חז"ל: 'שלא מצא הקב"ה כלי מחזיק לישראל אלא השלום</w:t>
      </w:r>
      <w:r w:rsidRPr="00D90AB4">
        <w:rPr>
          <w:b/>
          <w:bCs/>
        </w:rPr>
        <w:t>'.</w:t>
      </w:r>
    </w:p>
    <w:p w:rsidR="006E5BCE" w:rsidRPr="00D90AB4" w:rsidRDefault="00D90AB4" w:rsidP="00D90AB4">
      <w:pPr>
        <w:pStyle w:val="a6"/>
        <w:jc w:val="right"/>
        <w:rPr>
          <w:rFonts w:hint="cs"/>
          <w:rtl/>
        </w:rPr>
      </w:pPr>
      <w:r>
        <w:rPr>
          <w:rFonts w:hint="cs"/>
          <w:rtl/>
        </w:rPr>
        <w:t xml:space="preserve">(חכם שלום יצחק הלוי, </w:t>
      </w:r>
      <w:r w:rsidR="006E5BCE" w:rsidRPr="006E5BCE">
        <w:rPr>
          <w:rtl/>
        </w:rPr>
        <w:t>דברי חכמים, חלק יורה דעה, סימן ד, עמ' ע-</w:t>
      </w:r>
      <w:proofErr w:type="spellStart"/>
      <w:r w:rsidR="006E5BCE" w:rsidRPr="006E5BCE">
        <w:rPr>
          <w:rtl/>
        </w:rPr>
        <w:t>עא</w:t>
      </w:r>
      <w:proofErr w:type="spellEnd"/>
      <w:r w:rsidR="006E5BCE" w:rsidRPr="006E5BCE">
        <w:rPr>
          <w:rtl/>
        </w:rPr>
        <w:t>, דפוס דרור, ירושלים, תשל"ב (1972</w:t>
      </w:r>
      <w:r>
        <w:t>(</w:t>
      </w:r>
    </w:p>
    <w:p w:rsidR="006E5BCE" w:rsidRDefault="006E5BCE">
      <w:pPr>
        <w:rPr>
          <w:rFonts w:hint="cs"/>
          <w:rtl/>
        </w:rPr>
      </w:pPr>
    </w:p>
    <w:p w:rsidR="006E5BCE" w:rsidRDefault="006E5BCE">
      <w:pPr>
        <w:rPr>
          <w:rFonts w:hint="cs"/>
          <w:rtl/>
        </w:rPr>
      </w:pPr>
    </w:p>
    <w:p w:rsidR="00D67682" w:rsidRPr="00D67682" w:rsidRDefault="00D67682">
      <w:pPr>
        <w:rPr>
          <w:rFonts w:hint="cs"/>
          <w:b/>
          <w:bCs/>
          <w:highlight w:val="yellow"/>
          <w:rtl/>
        </w:rPr>
      </w:pPr>
      <w:r w:rsidRPr="00D67682">
        <w:rPr>
          <w:rFonts w:hint="cs"/>
          <w:b/>
          <w:bCs/>
          <w:highlight w:val="yellow"/>
          <w:rtl/>
        </w:rPr>
        <w:t xml:space="preserve">קריאה יחפה: </w:t>
      </w:r>
    </w:p>
    <w:p w:rsidR="00D67682" w:rsidRPr="00D90AB4" w:rsidRDefault="00D90AB4" w:rsidP="00D90AB4">
      <w:pPr>
        <w:pStyle w:val="a5"/>
        <w:numPr>
          <w:ilvl w:val="0"/>
          <w:numId w:val="5"/>
        </w:numPr>
        <w:rPr>
          <w:rFonts w:hint="cs"/>
          <w:b/>
          <w:bCs/>
          <w:rtl/>
        </w:rPr>
      </w:pPr>
      <w:r w:rsidRPr="00D90AB4">
        <w:rPr>
          <w:rFonts w:hint="cs"/>
          <w:b/>
          <w:bCs/>
          <w:rtl/>
        </w:rPr>
        <w:t xml:space="preserve">המחיזו את טקס הסולחה של יהודי תימן שמתואר בדבריו של חכם שלום יצחק הלוי. </w:t>
      </w:r>
    </w:p>
    <w:p w:rsidR="00D90AB4" w:rsidRDefault="00D90AB4">
      <w:pPr>
        <w:rPr>
          <w:rFonts w:hint="cs"/>
          <w:rtl/>
        </w:rPr>
      </w:pPr>
    </w:p>
    <w:p w:rsidR="00D90AB4" w:rsidRDefault="00D90AB4" w:rsidP="00D90AB4">
      <w:pPr>
        <w:pStyle w:val="a5"/>
        <w:numPr>
          <w:ilvl w:val="0"/>
          <w:numId w:val="5"/>
        </w:numPr>
        <w:rPr>
          <w:rFonts w:hint="cs"/>
          <w:rtl/>
        </w:rPr>
      </w:pPr>
      <w:r>
        <w:rPr>
          <w:rFonts w:hint="cs"/>
          <w:rtl/>
        </w:rPr>
        <w:t>מה מקורו של מנהג זה על פי דבריו של חכם שלום יצחק הלוי?</w:t>
      </w:r>
    </w:p>
    <w:p w:rsidR="00D90AB4" w:rsidRDefault="00D90AB4" w:rsidP="00D90AB4">
      <w:pPr>
        <w:pStyle w:val="a5"/>
        <w:numPr>
          <w:ilvl w:val="0"/>
          <w:numId w:val="5"/>
        </w:numPr>
        <w:rPr>
          <w:rFonts w:hint="cs"/>
          <w:rtl/>
        </w:rPr>
      </w:pPr>
      <w:r>
        <w:rPr>
          <w:rFonts w:hint="cs"/>
          <w:rtl/>
        </w:rPr>
        <w:t>מה השאלה ששאל אותו אחיו בנוגע למנהג זה?</w:t>
      </w:r>
    </w:p>
    <w:p w:rsidR="00D90AB4" w:rsidRDefault="00D90AB4" w:rsidP="00D90AB4">
      <w:pPr>
        <w:pStyle w:val="a5"/>
        <w:numPr>
          <w:ilvl w:val="0"/>
          <w:numId w:val="5"/>
        </w:numPr>
        <w:rPr>
          <w:rFonts w:hint="cs"/>
          <w:rtl/>
        </w:rPr>
      </w:pPr>
      <w:r>
        <w:rPr>
          <w:rFonts w:hint="cs"/>
          <w:rtl/>
        </w:rPr>
        <w:t>מה תשובתו של חכם שלום יצחק הלוי?</w:t>
      </w:r>
    </w:p>
    <w:p w:rsidR="00D90AB4" w:rsidRDefault="00D90AB4" w:rsidP="00D90AB4">
      <w:pPr>
        <w:pStyle w:val="a5"/>
        <w:numPr>
          <w:ilvl w:val="0"/>
          <w:numId w:val="5"/>
        </w:numPr>
        <w:rPr>
          <w:rFonts w:hint="cs"/>
          <w:rtl/>
        </w:rPr>
      </w:pPr>
      <w:r>
        <w:rPr>
          <w:rFonts w:hint="cs"/>
          <w:rtl/>
        </w:rPr>
        <w:t>מה דעתכם על תשובתו זו?</w:t>
      </w:r>
    </w:p>
    <w:p w:rsidR="00D90AB4" w:rsidRDefault="00D90AB4">
      <w:pPr>
        <w:rPr>
          <w:rFonts w:hint="cs"/>
          <w:rtl/>
        </w:rPr>
      </w:pPr>
    </w:p>
    <w:p w:rsidR="00D90AB4" w:rsidRDefault="00D90AB4">
      <w:pPr>
        <w:rPr>
          <w:rFonts w:hint="cs"/>
          <w:rtl/>
        </w:rPr>
      </w:pPr>
    </w:p>
    <w:p w:rsidR="006E5BCE" w:rsidRDefault="006E5BCE">
      <w:pPr>
        <w:rPr>
          <w:rFonts w:hint="cs"/>
          <w:b/>
          <w:bCs/>
          <w:rtl/>
        </w:rPr>
      </w:pPr>
      <w:r w:rsidRPr="006E5BCE">
        <w:rPr>
          <w:rFonts w:hint="cs"/>
          <w:b/>
          <w:bCs/>
          <w:highlight w:val="yellow"/>
          <w:rtl/>
        </w:rPr>
        <w:t>ריבוי קולות:</w:t>
      </w:r>
    </w:p>
    <w:p w:rsidR="00D67682" w:rsidRPr="00D67682" w:rsidRDefault="00D67682" w:rsidP="00D67682">
      <w:pPr>
        <w:rPr>
          <w:rFonts w:hint="cs"/>
          <w:rtl/>
        </w:rPr>
      </w:pPr>
      <w:r w:rsidRPr="00D67682">
        <w:rPr>
          <w:rFonts w:hint="cs"/>
          <w:rtl/>
        </w:rPr>
        <w:t>המנהג שתיאר חכם שלום יצחק הלוי בדבריו מבוסס כפי שהוא כותב בעצמו על המנהג הקיים בתרבות הערבית. בשורות הבאות נתאר את מנהג זה, וכן מנהגים מתרבויות אחרות.</w:t>
      </w:r>
    </w:p>
    <w:p w:rsidR="00D67682" w:rsidRPr="00D67682" w:rsidRDefault="00D67682" w:rsidP="00D67682">
      <w:pPr>
        <w:rPr>
          <w:rFonts w:hint="cs"/>
          <w:rtl/>
        </w:rPr>
      </w:pPr>
      <w:r w:rsidRPr="00D67682">
        <w:rPr>
          <w:rFonts w:hint="cs"/>
          <w:rtl/>
        </w:rPr>
        <w:lastRenderedPageBreak/>
        <w:t xml:space="preserve">קראו את המקורות, ענו על השאלות </w:t>
      </w:r>
      <w:proofErr w:type="spellStart"/>
      <w:r w:rsidRPr="00D67682">
        <w:rPr>
          <w:rFonts w:hint="cs"/>
          <w:rtl/>
        </w:rPr>
        <w:t>שבצידם</w:t>
      </w:r>
      <w:proofErr w:type="spellEnd"/>
      <w:r w:rsidRPr="00D67682">
        <w:rPr>
          <w:rFonts w:hint="cs"/>
          <w:rtl/>
        </w:rPr>
        <w:t>, וחשבו מה דעתכם על מנהגים אלו, והאם אתם מכירים מנהגים נוספים שנועדו להשכין שלום:</w:t>
      </w:r>
    </w:p>
    <w:p w:rsidR="00D67682" w:rsidRDefault="00D67682" w:rsidP="00D67682">
      <w:pPr>
        <w:rPr>
          <w:rFonts w:hint="cs"/>
          <w:b/>
          <w:bCs/>
          <w:rtl/>
        </w:rPr>
      </w:pPr>
    </w:p>
    <w:p w:rsidR="00D67682" w:rsidRDefault="00D67682" w:rsidP="00D67682">
      <w:pPr>
        <w:shd w:val="clear" w:color="auto" w:fill="DBE5F1" w:themeFill="accent1" w:themeFillTint="33"/>
        <w:rPr>
          <w:rFonts w:hint="cs"/>
          <w:b/>
          <w:bCs/>
          <w:rtl/>
        </w:rPr>
      </w:pPr>
      <w:r>
        <w:rPr>
          <w:rFonts w:hint="cs"/>
          <w:b/>
          <w:bCs/>
          <w:rtl/>
        </w:rPr>
        <w:t>"סולחה"</w:t>
      </w:r>
    </w:p>
    <w:p w:rsidR="00D67682" w:rsidRDefault="00D67682" w:rsidP="00D67682">
      <w:pPr>
        <w:shd w:val="clear" w:color="auto" w:fill="DBE5F1" w:themeFill="accent1" w:themeFillTint="33"/>
        <w:rPr>
          <w:rFonts w:hint="cs"/>
          <w:b/>
          <w:bCs/>
          <w:rtl/>
        </w:rPr>
      </w:pPr>
      <w:r>
        <w:rPr>
          <w:rFonts w:hint="cs"/>
          <w:b/>
          <w:bCs/>
          <w:rtl/>
        </w:rPr>
        <w:t xml:space="preserve">הסולחה היא המנהג המסורתי הערבי להשכנת שלום בין אדם לחברו, משפחות או שבטים. הצד שנפגע צריך להסכים לקיום הסולחה והוא גם הקובע את הסכום שישולם לו כפיצוי. </w:t>
      </w:r>
    </w:p>
    <w:p w:rsidR="00D67682" w:rsidRDefault="00D67682" w:rsidP="00D67682">
      <w:pPr>
        <w:shd w:val="clear" w:color="auto" w:fill="DBE5F1" w:themeFill="accent1" w:themeFillTint="33"/>
        <w:rPr>
          <w:rFonts w:hint="cs"/>
          <w:b/>
          <w:bCs/>
          <w:rtl/>
        </w:rPr>
      </w:pPr>
      <w:r>
        <w:rPr>
          <w:rFonts w:hint="cs"/>
          <w:b/>
          <w:bCs/>
          <w:rtl/>
        </w:rPr>
        <w:t xml:space="preserve">יש הנוהגים לקשור בטקס הסולחה מטפחת לבנה, המסמלת שלום וטוהר, על מוט עץ. כאשר צד הפוגע והצד הנפגע קושרים כל אחד קשר במטפחת, כדי לסמל את איחוי הקרע. לאחר מכן משפחת הצד הנפגע עומדת בשורה ושני הצדדים לוחצים ידיים. </w:t>
      </w:r>
    </w:p>
    <w:p w:rsidR="00D67682" w:rsidRDefault="00D67682" w:rsidP="00D67682">
      <w:pPr>
        <w:shd w:val="clear" w:color="auto" w:fill="DBE5F1" w:themeFill="accent1" w:themeFillTint="33"/>
        <w:rPr>
          <w:rFonts w:hint="cs"/>
          <w:b/>
          <w:bCs/>
          <w:rtl/>
        </w:rPr>
      </w:pPr>
      <w:r>
        <w:rPr>
          <w:rFonts w:hint="cs"/>
          <w:b/>
          <w:bCs/>
          <w:rtl/>
        </w:rPr>
        <w:t>לטקס מוזמנים אורחים רבים, כאשר הצד הפוגע משלם על הכיבוד, והצד הנפגע אחראי על הכנתו. לאחר הארוחה שני הצדדים שותים קפה יחד. הסולחה מאפשרת הפסקת התוצאות הקשות של סכסוך הדמים וחזרה למהלך חיים תקין.</w:t>
      </w:r>
    </w:p>
    <w:p w:rsidR="00D67682" w:rsidRPr="00D67682" w:rsidRDefault="00D67682" w:rsidP="00D67682">
      <w:pPr>
        <w:pStyle w:val="a5"/>
        <w:numPr>
          <w:ilvl w:val="0"/>
          <w:numId w:val="1"/>
        </w:numPr>
        <w:rPr>
          <w:rFonts w:hint="cs"/>
          <w:rtl/>
        </w:rPr>
      </w:pPr>
      <w:r w:rsidRPr="00D67682">
        <w:rPr>
          <w:rFonts w:hint="cs"/>
          <w:rtl/>
        </w:rPr>
        <w:t xml:space="preserve">מה דעתכם על מנהג הסולחה? </w:t>
      </w:r>
    </w:p>
    <w:p w:rsidR="00D67682" w:rsidRPr="00D67682" w:rsidRDefault="00D67682" w:rsidP="00D67682">
      <w:pPr>
        <w:pStyle w:val="a5"/>
        <w:numPr>
          <w:ilvl w:val="0"/>
          <w:numId w:val="1"/>
        </w:numPr>
        <w:rPr>
          <w:rFonts w:hint="cs"/>
          <w:rtl/>
        </w:rPr>
      </w:pPr>
      <w:r w:rsidRPr="00D67682">
        <w:rPr>
          <w:rFonts w:hint="cs"/>
          <w:rtl/>
        </w:rPr>
        <w:t>מה לדעתכם מחבר יותר בין שני צדדים שנפגעו</w:t>
      </w:r>
      <w:r w:rsidR="00EF010D">
        <w:rPr>
          <w:rFonts w:hint="cs"/>
          <w:rtl/>
        </w:rPr>
        <w:t xml:space="preserve"> ומוביל באמת </w:t>
      </w:r>
      <w:proofErr w:type="spellStart"/>
      <w:r w:rsidR="00EF010D">
        <w:rPr>
          <w:rFonts w:hint="cs"/>
          <w:rtl/>
        </w:rPr>
        <w:t>להשכנתשלו</w:t>
      </w:r>
      <w:proofErr w:type="spellEnd"/>
      <w:r w:rsidRPr="00D67682">
        <w:rPr>
          <w:rFonts w:hint="cs"/>
          <w:rtl/>
        </w:rPr>
        <w:t xml:space="preserve"> </w:t>
      </w:r>
      <w:r w:rsidRPr="00D67682">
        <w:rPr>
          <w:rtl/>
        </w:rPr>
        <w:t>–</w:t>
      </w:r>
      <w:r w:rsidRPr="00D67682">
        <w:rPr>
          <w:rFonts w:hint="cs"/>
          <w:rtl/>
        </w:rPr>
        <w:t xml:space="preserve"> סולחה שיזמו הצדדים או פסק דין שקבע ראש השבט או בית המשפט? </w:t>
      </w:r>
    </w:p>
    <w:p w:rsidR="00D67682" w:rsidRDefault="00D67682" w:rsidP="00D67682">
      <w:pPr>
        <w:rPr>
          <w:rFonts w:hint="cs"/>
          <w:b/>
          <w:bCs/>
          <w:rtl/>
        </w:rPr>
      </w:pPr>
    </w:p>
    <w:p w:rsidR="00D67682" w:rsidRPr="00D67682" w:rsidRDefault="00D67682" w:rsidP="00D67682">
      <w:pPr>
        <w:shd w:val="clear" w:color="auto" w:fill="FDE9D9" w:themeFill="accent6" w:themeFillTint="33"/>
        <w:rPr>
          <w:rFonts w:hint="cs"/>
          <w:b/>
          <w:bCs/>
          <w:rtl/>
        </w:rPr>
      </w:pPr>
      <w:r w:rsidRPr="00D67682">
        <w:rPr>
          <w:rFonts w:hint="cs"/>
          <w:b/>
          <w:bCs/>
          <w:rtl/>
        </w:rPr>
        <w:t>טקס התה הסיני</w:t>
      </w:r>
    </w:p>
    <w:p w:rsidR="006E5BCE" w:rsidRPr="00D67682" w:rsidRDefault="00D67682" w:rsidP="00D67682">
      <w:pPr>
        <w:shd w:val="clear" w:color="auto" w:fill="FDE9D9" w:themeFill="accent6" w:themeFillTint="33"/>
        <w:rPr>
          <w:rFonts w:hint="cs"/>
          <w:b/>
          <w:bCs/>
          <w:rtl/>
        </w:rPr>
      </w:pPr>
      <w:r w:rsidRPr="00D67682">
        <w:rPr>
          <w:rFonts w:hint="cs"/>
          <w:b/>
          <w:bCs/>
          <w:rtl/>
        </w:rPr>
        <w:t xml:space="preserve">טקס התה הסיני הוא טקס מרכזי בתרבות הסינית. המארח ומשתתפי הטקס מריחים את התה, וטועמים אותו בלגימות איטיות. על הטקס להתקיים באווירה רגועה ולהשרות תחושה של שלווה בקרב משתתפיו. </w:t>
      </w:r>
    </w:p>
    <w:p w:rsidR="00D67682" w:rsidRPr="00D67682" w:rsidRDefault="00D67682" w:rsidP="00D67682">
      <w:pPr>
        <w:shd w:val="clear" w:color="auto" w:fill="FDE9D9" w:themeFill="accent6" w:themeFillTint="33"/>
        <w:rPr>
          <w:rFonts w:hint="cs"/>
          <w:b/>
          <w:bCs/>
          <w:rtl/>
        </w:rPr>
      </w:pPr>
      <w:r w:rsidRPr="00D67682">
        <w:rPr>
          <w:rFonts w:hint="cs"/>
          <w:b/>
          <w:bCs/>
          <w:rtl/>
        </w:rPr>
        <w:t>עריכת טקס התה הסיני מיועדת למטרות שונות. אחת ממטרותיו של הטקס היא בקשת סליחה וקירוב לבבות.</w:t>
      </w:r>
    </w:p>
    <w:p w:rsidR="00D67682" w:rsidRPr="00D67682" w:rsidRDefault="00D67682" w:rsidP="00D67682">
      <w:pPr>
        <w:shd w:val="clear" w:color="auto" w:fill="FDE9D9" w:themeFill="accent6" w:themeFillTint="33"/>
        <w:jc w:val="right"/>
        <w:rPr>
          <w:rFonts w:hint="cs"/>
          <w:b/>
          <w:bCs/>
          <w:rtl/>
        </w:rPr>
      </w:pPr>
      <w:r w:rsidRPr="00D67682">
        <w:rPr>
          <w:rFonts w:hint="cs"/>
          <w:b/>
          <w:bCs/>
          <w:rtl/>
        </w:rPr>
        <w:t xml:space="preserve">(מעובד על פי </w:t>
      </w:r>
      <w:proofErr w:type="spellStart"/>
      <w:r w:rsidRPr="00D67682">
        <w:rPr>
          <w:b/>
          <w:bCs/>
        </w:rPr>
        <w:t>ynet</w:t>
      </w:r>
      <w:proofErr w:type="spellEnd"/>
      <w:r w:rsidRPr="00D67682">
        <w:rPr>
          <w:rFonts w:hint="cs"/>
          <w:b/>
          <w:bCs/>
          <w:rtl/>
        </w:rPr>
        <w:t xml:space="preserve"> אלטרנטיבי)</w:t>
      </w:r>
    </w:p>
    <w:p w:rsidR="00D67682" w:rsidRDefault="00D67682" w:rsidP="00EF010D">
      <w:pPr>
        <w:pStyle w:val="a5"/>
        <w:numPr>
          <w:ilvl w:val="0"/>
          <w:numId w:val="2"/>
        </w:numPr>
        <w:rPr>
          <w:rFonts w:hint="cs"/>
          <w:rtl/>
        </w:rPr>
      </w:pPr>
      <w:r>
        <w:rPr>
          <w:rFonts w:hint="cs"/>
          <w:rtl/>
        </w:rPr>
        <w:t xml:space="preserve">מה דעתכם על בקשת הסליחה במהלך טקס התה? </w:t>
      </w:r>
    </w:p>
    <w:p w:rsidR="00D67682" w:rsidRDefault="00D67682" w:rsidP="00EF010D">
      <w:pPr>
        <w:pStyle w:val="a5"/>
        <w:numPr>
          <w:ilvl w:val="0"/>
          <w:numId w:val="2"/>
        </w:numPr>
        <w:rPr>
          <w:rFonts w:hint="cs"/>
          <w:rtl/>
        </w:rPr>
      </w:pPr>
      <w:r>
        <w:rPr>
          <w:rFonts w:hint="cs"/>
          <w:rtl/>
        </w:rPr>
        <w:t xml:space="preserve">מה תורמת "האווירה" בטקס התה הסיני </w:t>
      </w:r>
      <w:r w:rsidR="00EF010D">
        <w:rPr>
          <w:rFonts w:hint="cs"/>
          <w:rtl/>
        </w:rPr>
        <w:t>להשכנת השלום שבין אדם לחברו?</w:t>
      </w:r>
    </w:p>
    <w:p w:rsidR="00EF010D" w:rsidRDefault="00EF010D" w:rsidP="00EF010D">
      <w:pPr>
        <w:rPr>
          <w:rFonts w:hint="cs"/>
          <w:rtl/>
        </w:rPr>
      </w:pPr>
    </w:p>
    <w:p w:rsidR="00EF010D" w:rsidRPr="00EF010D" w:rsidRDefault="00EF010D" w:rsidP="00EF010D">
      <w:pPr>
        <w:shd w:val="clear" w:color="auto" w:fill="E5DFEC" w:themeFill="accent4" w:themeFillTint="33"/>
        <w:rPr>
          <w:rFonts w:hint="cs"/>
          <w:b/>
          <w:bCs/>
          <w:sz w:val="24"/>
          <w:szCs w:val="24"/>
          <w:rtl/>
        </w:rPr>
      </w:pPr>
      <w:r w:rsidRPr="00EF010D">
        <w:rPr>
          <w:rFonts w:hint="cs"/>
          <w:b/>
          <w:bCs/>
          <w:sz w:val="24"/>
          <w:szCs w:val="24"/>
          <w:rtl/>
        </w:rPr>
        <w:t>מעגל סליחה באפריקה</w:t>
      </w:r>
    </w:p>
    <w:p w:rsidR="00EF010D" w:rsidRPr="004141EC" w:rsidRDefault="00EF010D" w:rsidP="00EF010D">
      <w:pPr>
        <w:shd w:val="clear" w:color="auto" w:fill="E5DFEC" w:themeFill="accent4" w:themeFillTint="33"/>
        <w:rPr>
          <w:rFonts w:ascii="Arial" w:hAnsi="Arial"/>
          <w:sz w:val="24"/>
          <w:szCs w:val="24"/>
          <w:rtl/>
        </w:rPr>
      </w:pPr>
      <w:r w:rsidRPr="004141EC">
        <w:rPr>
          <w:rFonts w:ascii="Arial" w:hAnsi="Arial" w:hint="cs"/>
          <w:sz w:val="24"/>
          <w:szCs w:val="24"/>
          <w:rtl/>
        </w:rPr>
        <w:t xml:space="preserve">ישנו </w:t>
      </w:r>
      <w:r w:rsidRPr="004141EC">
        <w:rPr>
          <w:rFonts w:ascii="Arial" w:hAnsi="Arial"/>
          <w:sz w:val="24"/>
          <w:szCs w:val="24"/>
          <w:rtl/>
        </w:rPr>
        <w:t xml:space="preserve">שבט אפריקאי, שבו כאשר מישהו מתנהג בחוסר אחריות או חוסר צדק – הוא נלקח </w:t>
      </w:r>
    </w:p>
    <w:p w:rsidR="00EF010D" w:rsidRDefault="00EF010D" w:rsidP="00EF010D">
      <w:pPr>
        <w:shd w:val="clear" w:color="auto" w:fill="E5DFEC" w:themeFill="accent4" w:themeFillTint="33"/>
        <w:rPr>
          <w:rFonts w:ascii="Arial" w:hAnsi="Arial"/>
          <w:sz w:val="24"/>
          <w:szCs w:val="24"/>
          <w:rtl/>
        </w:rPr>
      </w:pPr>
      <w:r w:rsidRPr="004141EC">
        <w:rPr>
          <w:rFonts w:ascii="Arial" w:hAnsi="Arial"/>
          <w:sz w:val="24"/>
          <w:szCs w:val="24"/>
          <w:rtl/>
        </w:rPr>
        <w:t xml:space="preserve">למרכז הכפר. כל העבודה נפסקת וכל אדם – ילד, אישה, גבר וזקן – כולם מתאספים סביב הנאשם. הם </w:t>
      </w:r>
      <w:r w:rsidRPr="004141EC">
        <w:rPr>
          <w:rFonts w:ascii="Arial" w:hAnsi="Arial" w:hint="cs"/>
          <w:sz w:val="24"/>
          <w:szCs w:val="24"/>
          <w:rtl/>
        </w:rPr>
        <w:t>"</w:t>
      </w:r>
      <w:r w:rsidRPr="004141EC">
        <w:rPr>
          <w:rFonts w:ascii="Arial" w:hAnsi="Arial"/>
          <w:sz w:val="24"/>
          <w:szCs w:val="24"/>
          <w:rtl/>
        </w:rPr>
        <w:t>מפציצים</w:t>
      </w:r>
      <w:r w:rsidRPr="004141EC">
        <w:rPr>
          <w:rFonts w:ascii="Arial" w:hAnsi="Arial" w:hint="cs"/>
          <w:sz w:val="24"/>
          <w:szCs w:val="24"/>
          <w:rtl/>
        </w:rPr>
        <w:t>"</w:t>
      </w:r>
      <w:r w:rsidRPr="004141EC">
        <w:rPr>
          <w:rFonts w:ascii="Arial" w:hAnsi="Arial"/>
          <w:sz w:val="24"/>
          <w:szCs w:val="24"/>
          <w:rtl/>
        </w:rPr>
        <w:t xml:space="preserve"> אותו, כל אחד בתורו</w:t>
      </w:r>
      <w:r>
        <w:rPr>
          <w:rFonts w:ascii="Arial" w:hAnsi="Arial" w:hint="cs"/>
          <w:sz w:val="24"/>
          <w:szCs w:val="24"/>
          <w:rtl/>
        </w:rPr>
        <w:t>...</w:t>
      </w:r>
    </w:p>
    <w:p w:rsidR="00EF010D" w:rsidRPr="00FF6BA1" w:rsidRDefault="00EF010D" w:rsidP="00EF010D">
      <w:pPr>
        <w:pStyle w:val="a5"/>
        <w:numPr>
          <w:ilvl w:val="0"/>
          <w:numId w:val="4"/>
        </w:numPr>
        <w:jc w:val="center"/>
        <w:rPr>
          <w:rFonts w:ascii="Arial" w:hAnsi="Arial"/>
          <w:b/>
          <w:bCs/>
          <w:sz w:val="24"/>
          <w:szCs w:val="24"/>
          <w:rtl/>
        </w:rPr>
      </w:pPr>
      <w:r w:rsidRPr="00FF6BA1">
        <w:rPr>
          <w:rFonts w:ascii="Arial" w:hAnsi="Arial" w:hint="cs"/>
          <w:b/>
          <w:bCs/>
          <w:sz w:val="24"/>
          <w:szCs w:val="24"/>
          <w:rtl/>
        </w:rPr>
        <w:t>מה לדעתכם יהיה המשכו של הטקס?</w:t>
      </w:r>
    </w:p>
    <w:p w:rsidR="00EF010D" w:rsidRPr="004141EC" w:rsidRDefault="00EF010D" w:rsidP="00EF010D">
      <w:pPr>
        <w:shd w:val="clear" w:color="auto" w:fill="E5DFEC" w:themeFill="accent4" w:themeFillTint="33"/>
        <w:rPr>
          <w:rFonts w:ascii="Arial" w:hAnsi="Arial"/>
          <w:sz w:val="24"/>
          <w:szCs w:val="24"/>
          <w:rtl/>
        </w:rPr>
      </w:pPr>
      <w:r>
        <w:rPr>
          <w:rFonts w:ascii="Arial" w:hAnsi="Arial" w:hint="cs"/>
          <w:sz w:val="24"/>
          <w:szCs w:val="24"/>
          <w:rtl/>
        </w:rPr>
        <w:t xml:space="preserve"> </w:t>
      </w:r>
      <w:r w:rsidRPr="004141EC">
        <w:rPr>
          <w:rFonts w:ascii="Arial" w:hAnsi="Arial"/>
          <w:sz w:val="24"/>
          <w:szCs w:val="24"/>
          <w:rtl/>
        </w:rPr>
        <w:t>בכך שמונים את כל הדברים הטובים שאותו אדם עשה. כל תקרית, חוויה שיכולה להיזכר, כל פרט. כל התכונות החיוביות והתרומות שלו, כוחות וטוב לב – נידונים במחשבה מרובה וביד נדיבה. לבסוף שוברים את המעגל והמוגלה מוזמן חזרה</w:t>
      </w:r>
      <w:r w:rsidRPr="004141EC">
        <w:rPr>
          <w:rFonts w:ascii="Arial" w:hAnsi="Arial" w:hint="cs"/>
          <w:sz w:val="24"/>
          <w:szCs w:val="24"/>
          <w:rtl/>
        </w:rPr>
        <w:t xml:space="preserve"> </w:t>
      </w:r>
      <w:r w:rsidRPr="004141EC">
        <w:rPr>
          <w:rFonts w:ascii="Arial" w:hAnsi="Arial"/>
          <w:sz w:val="24"/>
          <w:szCs w:val="24"/>
          <w:rtl/>
        </w:rPr>
        <w:t xml:space="preserve">לשבט ועושים חגיגה שמחה. </w:t>
      </w:r>
    </w:p>
    <w:p w:rsidR="00EF010D" w:rsidRDefault="00EF010D" w:rsidP="00EF010D">
      <w:pPr>
        <w:shd w:val="clear" w:color="auto" w:fill="E5DFEC" w:themeFill="accent4" w:themeFillTint="33"/>
        <w:rPr>
          <w:rFonts w:ascii="Arial" w:hAnsi="Arial"/>
          <w:sz w:val="24"/>
          <w:szCs w:val="24"/>
          <w:rtl/>
        </w:rPr>
      </w:pPr>
      <w:r>
        <w:rPr>
          <w:noProof/>
        </w:rPr>
        <w:lastRenderedPageBreak/>
        <w:drawing>
          <wp:anchor distT="0" distB="0" distL="114300" distR="114300" simplePos="0" relativeHeight="251659264" behindDoc="0" locked="0" layoutInCell="1" allowOverlap="1" wp14:anchorId="3729EC7F" wp14:editId="5E628E9D">
            <wp:simplePos x="0" y="0"/>
            <wp:positionH relativeFrom="column">
              <wp:posOffset>-121920</wp:posOffset>
            </wp:positionH>
            <wp:positionV relativeFrom="paragraph">
              <wp:posOffset>26670</wp:posOffset>
            </wp:positionV>
            <wp:extent cx="3476625" cy="2062480"/>
            <wp:effectExtent l="0" t="0" r="9525" b="0"/>
            <wp:wrapNone/>
            <wp:docPr id="67" name="תמונה 67" descr="http://nodepression.com/sites/default/files/images/main_image/ning_blog/african-circle-dance-300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depression.com/sites/default/files/images/main_image/ning_blog/african-circle-dance-300x1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2062480"/>
                    </a:xfrm>
                    <a:prstGeom prst="rect">
                      <a:avLst/>
                    </a:prstGeom>
                    <a:noFill/>
                    <a:ln>
                      <a:noFill/>
                    </a:ln>
                  </pic:spPr>
                </pic:pic>
              </a:graphicData>
            </a:graphic>
          </wp:anchor>
        </w:drawing>
      </w:r>
      <w:r w:rsidRPr="004141EC">
        <w:rPr>
          <w:rFonts w:ascii="Arial" w:hAnsi="Arial" w:hint="cs"/>
          <w:sz w:val="24"/>
          <w:szCs w:val="24"/>
          <w:rtl/>
        </w:rPr>
        <w:t xml:space="preserve"> (סליחה, יעל </w:t>
      </w:r>
      <w:proofErr w:type="spellStart"/>
      <w:r w:rsidRPr="004141EC">
        <w:rPr>
          <w:rFonts w:ascii="Arial" w:hAnsi="Arial" w:hint="cs"/>
          <w:sz w:val="24"/>
          <w:szCs w:val="24"/>
          <w:rtl/>
        </w:rPr>
        <w:t>צביאלי</w:t>
      </w:r>
      <w:proofErr w:type="spellEnd"/>
      <w:r w:rsidRPr="004141EC">
        <w:rPr>
          <w:rFonts w:ascii="Arial" w:hAnsi="Arial" w:hint="cs"/>
          <w:sz w:val="24"/>
          <w:szCs w:val="24"/>
          <w:rtl/>
        </w:rPr>
        <w:t xml:space="preserve"> רייס)</w:t>
      </w:r>
    </w:p>
    <w:p w:rsidR="00EF010D" w:rsidRDefault="00EF010D" w:rsidP="00EF010D">
      <w:pPr>
        <w:jc w:val="right"/>
        <w:rPr>
          <w:rFonts w:ascii="Arial" w:hAnsi="Arial"/>
          <w:sz w:val="24"/>
          <w:szCs w:val="24"/>
          <w:rtl/>
        </w:rPr>
      </w:pPr>
    </w:p>
    <w:p w:rsidR="00EF010D" w:rsidRDefault="00EF010D" w:rsidP="00EF010D">
      <w:pPr>
        <w:jc w:val="right"/>
        <w:rPr>
          <w:rFonts w:ascii="Arial" w:hAnsi="Arial"/>
          <w:sz w:val="24"/>
          <w:szCs w:val="24"/>
          <w:rtl/>
        </w:rPr>
      </w:pPr>
    </w:p>
    <w:p w:rsidR="00EF010D" w:rsidRDefault="00EF010D" w:rsidP="00EF010D">
      <w:pPr>
        <w:jc w:val="right"/>
        <w:rPr>
          <w:rFonts w:ascii="Arial" w:hAnsi="Arial"/>
          <w:sz w:val="24"/>
          <w:szCs w:val="24"/>
          <w:rtl/>
        </w:rPr>
      </w:pPr>
    </w:p>
    <w:p w:rsidR="00EF010D" w:rsidRDefault="00EF010D" w:rsidP="00EF010D">
      <w:pPr>
        <w:jc w:val="right"/>
        <w:rPr>
          <w:rFonts w:ascii="Arial" w:hAnsi="Arial"/>
          <w:sz w:val="24"/>
          <w:szCs w:val="24"/>
          <w:rtl/>
        </w:rPr>
      </w:pPr>
    </w:p>
    <w:p w:rsidR="00EF010D" w:rsidRDefault="00EF010D" w:rsidP="00EF010D">
      <w:pPr>
        <w:pStyle w:val="a5"/>
        <w:numPr>
          <w:ilvl w:val="0"/>
          <w:numId w:val="3"/>
        </w:numPr>
        <w:tabs>
          <w:tab w:val="left" w:pos="5681"/>
        </w:tabs>
        <w:rPr>
          <w:rtl/>
        </w:rPr>
      </w:pPr>
      <w:r>
        <w:rPr>
          <w:rFonts w:hint="cs"/>
          <w:rtl/>
        </w:rPr>
        <w:t>מה דעתכם  על טקס שכזה?</w:t>
      </w:r>
    </w:p>
    <w:p w:rsidR="00EF010D" w:rsidRDefault="00EF010D" w:rsidP="00EF010D">
      <w:pPr>
        <w:pStyle w:val="a5"/>
        <w:numPr>
          <w:ilvl w:val="0"/>
          <w:numId w:val="3"/>
        </w:numPr>
        <w:tabs>
          <w:tab w:val="left" w:pos="5681"/>
        </w:tabs>
        <w:rPr>
          <w:rtl/>
        </w:rPr>
      </w:pPr>
      <w:r>
        <w:rPr>
          <w:rFonts w:hint="cs"/>
          <w:rtl/>
        </w:rPr>
        <w:t xml:space="preserve">האם קל או קשה לחברה לערוך אותו? </w:t>
      </w:r>
    </w:p>
    <w:p w:rsidR="00EF010D" w:rsidRDefault="00EF010D" w:rsidP="00EF010D">
      <w:pPr>
        <w:rPr>
          <w:rFonts w:hint="cs"/>
          <w:rtl/>
        </w:rPr>
      </w:pPr>
    </w:p>
    <w:p w:rsidR="006E5BCE" w:rsidRDefault="006E5BCE">
      <w:pPr>
        <w:rPr>
          <w:rFonts w:hint="cs"/>
          <w:rtl/>
        </w:rPr>
      </w:pPr>
    </w:p>
    <w:p w:rsidR="00D67682" w:rsidRDefault="00D67682">
      <w:pPr>
        <w:rPr>
          <w:rFonts w:hint="cs"/>
          <w:rtl/>
        </w:rPr>
      </w:pPr>
    </w:p>
    <w:p w:rsidR="006E5BCE" w:rsidRPr="006E5BCE" w:rsidRDefault="006E5BCE">
      <w:pPr>
        <w:rPr>
          <w:rFonts w:hint="cs"/>
          <w:b/>
          <w:bCs/>
          <w:rtl/>
        </w:rPr>
      </w:pPr>
      <w:r w:rsidRPr="006E5BCE">
        <w:rPr>
          <w:rFonts w:hint="cs"/>
          <w:b/>
          <w:bCs/>
          <w:highlight w:val="yellow"/>
          <w:rtl/>
        </w:rPr>
        <w:t>רלוונטיות:</w:t>
      </w:r>
    </w:p>
    <w:p w:rsidR="006E5BCE" w:rsidRDefault="006E5BCE">
      <w:pPr>
        <w:rPr>
          <w:rFonts w:hint="cs"/>
          <w:rtl/>
        </w:rPr>
      </w:pPr>
      <w:r>
        <w:rPr>
          <w:rFonts w:hint="cs"/>
          <w:rtl/>
        </w:rPr>
        <w:t>בתכניות רבות המתקיימות ביום בבתי הספר מקבלים התלמידים את האחריות ליישוב הקונפליקטים והריבים.</w:t>
      </w:r>
    </w:p>
    <w:p w:rsidR="006E5BCE" w:rsidRDefault="006E5BCE">
      <w:pPr>
        <w:rPr>
          <w:rFonts w:hint="cs"/>
          <w:rtl/>
        </w:rPr>
      </w:pPr>
      <w:r>
        <w:rPr>
          <w:rFonts w:hint="cs"/>
          <w:rtl/>
        </w:rPr>
        <w:t>כיצד אתם פותרים את המריבות בכיתתכם?</w:t>
      </w:r>
    </w:p>
    <w:p w:rsidR="006E5BCE" w:rsidRDefault="006E5BCE">
      <w:pPr>
        <w:rPr>
          <w:rFonts w:hint="cs"/>
          <w:rtl/>
        </w:rPr>
      </w:pPr>
      <w:r>
        <w:rPr>
          <w:rFonts w:hint="cs"/>
          <w:rtl/>
        </w:rPr>
        <w:t>צפו בסרטונים הבאים:</w:t>
      </w:r>
    </w:p>
    <w:p w:rsidR="006E5BCE" w:rsidRDefault="006E5BCE">
      <w:pPr>
        <w:rPr>
          <w:rFonts w:hint="cs"/>
          <w:rtl/>
        </w:rPr>
      </w:pPr>
      <w:hyperlink r:id="rId9" w:history="1">
        <w:r>
          <w:rPr>
            <w:rStyle w:val="Hyperlink"/>
          </w:rPr>
          <w:t>https://gevim.co.il/%D7%97%D7%99%D7%A0%D7%95%D7%9A/</w:t>
        </w:r>
      </w:hyperlink>
    </w:p>
    <w:p w:rsidR="006E5BCE" w:rsidRDefault="006E5BCE">
      <w:pPr>
        <w:rPr>
          <w:rFonts w:hint="cs"/>
          <w:rtl/>
        </w:rPr>
      </w:pPr>
    </w:p>
    <w:p w:rsidR="006E5BCE" w:rsidRDefault="006E5BCE">
      <w:pPr>
        <w:rPr>
          <w:rFonts w:hint="cs"/>
          <w:rtl/>
        </w:rPr>
      </w:pPr>
      <w:r>
        <w:rPr>
          <w:rFonts w:hint="cs"/>
          <w:rtl/>
        </w:rPr>
        <w:t xml:space="preserve">כעת חשבו, על הצעות מעשיות כיצד לפתור ריבים וקונפליקטים בכיתה. </w:t>
      </w:r>
    </w:p>
    <w:p w:rsidR="006E5BCE" w:rsidRDefault="006E5BCE">
      <w:pPr>
        <w:rPr>
          <w:rFonts w:hint="cs"/>
          <w:rtl/>
        </w:rPr>
      </w:pPr>
      <w:r>
        <w:rPr>
          <w:rFonts w:hint="cs"/>
          <w:rtl/>
        </w:rPr>
        <w:t xml:space="preserve">ובחרו לפחות דרך אחת, שאותה תנסו ליישם בתקופה הקרובה. </w:t>
      </w:r>
    </w:p>
    <w:p w:rsidR="006E5BCE" w:rsidRPr="006E5BCE" w:rsidRDefault="006E5BCE">
      <w:pPr>
        <w:rPr>
          <w:rFonts w:hint="cs"/>
          <w:rtl/>
        </w:rPr>
      </w:pPr>
    </w:p>
    <w:p w:rsidR="006E5BCE" w:rsidRPr="006E5BCE" w:rsidRDefault="00D90AB4">
      <w:pPr>
        <w:rPr>
          <w:rFonts w:hint="cs"/>
          <w:b/>
          <w:bCs/>
          <w:rtl/>
        </w:rPr>
      </w:pPr>
      <w:r>
        <w:rPr>
          <w:noProof/>
        </w:rPr>
        <w:drawing>
          <wp:anchor distT="0" distB="0" distL="114300" distR="114300" simplePos="0" relativeHeight="251660288" behindDoc="0" locked="0" layoutInCell="1" allowOverlap="1" wp14:anchorId="436D14BB" wp14:editId="4AC12C59">
            <wp:simplePos x="0" y="0"/>
            <wp:positionH relativeFrom="column">
              <wp:posOffset>5355590</wp:posOffset>
            </wp:positionH>
            <wp:positionV relativeFrom="paragraph">
              <wp:posOffset>139065</wp:posOffset>
            </wp:positionV>
            <wp:extent cx="1035050" cy="1485900"/>
            <wp:effectExtent l="0" t="0" r="0" b="0"/>
            <wp:wrapNone/>
            <wp:docPr id="1" name="תמונה 1"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0"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E5BCE" w:rsidRPr="006E5BCE">
        <w:rPr>
          <w:rFonts w:hint="cs"/>
          <w:b/>
          <w:bCs/>
          <w:highlight w:val="yellow"/>
          <w:rtl/>
        </w:rPr>
        <w:t>תוספתא</w:t>
      </w:r>
      <w:proofErr w:type="spellEnd"/>
      <w:r w:rsidR="006E5BCE" w:rsidRPr="006E5BCE">
        <w:rPr>
          <w:rFonts w:hint="cs"/>
          <w:b/>
          <w:bCs/>
          <w:highlight w:val="yellow"/>
          <w:rtl/>
        </w:rPr>
        <w:t>:</w:t>
      </w:r>
    </w:p>
    <w:p w:rsidR="006E5BCE" w:rsidRDefault="006E5BCE" w:rsidP="00D90AB4">
      <w:pPr>
        <w:rPr>
          <w:rFonts w:ascii="Arial" w:hAnsi="Arial" w:cs="Arial"/>
          <w:color w:val="222222"/>
          <w:sz w:val="21"/>
          <w:szCs w:val="21"/>
        </w:rPr>
      </w:pPr>
      <w:r>
        <w:rPr>
          <w:rFonts w:hint="cs"/>
          <w:rtl/>
        </w:rPr>
        <w:t>חכם</w:t>
      </w:r>
      <w:r w:rsidR="00D90AB4">
        <w:rPr>
          <w:rFonts w:hint="cs"/>
          <w:rtl/>
        </w:rPr>
        <w:t xml:space="preserve"> שלום יצחק הלוי, היא ממנהיגי הקהילה החשובים של הקהילה התימנית בארץ ישראל. הוא נולד בצנעא שבתימן בשנת 1891, כבן הבכור של הרב יחיא יצחק הלוי, רבה הראשי של תימן. בהיותו בן 32, בשנת 1923, עלה לארץ ישראל. וכשנתיים מאוחר יותר התמנה לתפקיד אותו מלא עד סוף ימיו: הרב הראשי ליהודי תימן בתל-אביב-יפו, כשלמעשה הוא משמש במידה רבה כרב הראשי ליוצאי תימן בארץ ישראל כולה.  </w:t>
      </w:r>
    </w:p>
    <w:p w:rsidR="006E5BCE" w:rsidRPr="006E5BCE" w:rsidRDefault="006E5BCE"/>
    <w:sectPr w:rsidR="006E5BCE" w:rsidRPr="006E5BCE" w:rsidSect="00C1357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17" w:rsidRDefault="00A63017" w:rsidP="00D90AB4">
      <w:pPr>
        <w:spacing w:after="0" w:line="240" w:lineRule="auto"/>
      </w:pPr>
      <w:r>
        <w:separator/>
      </w:r>
    </w:p>
  </w:endnote>
  <w:endnote w:type="continuationSeparator" w:id="0">
    <w:p w:rsidR="00A63017" w:rsidRDefault="00A63017" w:rsidP="00D9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B4" w:rsidRDefault="00D90A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B4" w:rsidRDefault="00D90A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B4" w:rsidRDefault="00D90A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17" w:rsidRDefault="00A63017" w:rsidP="00D90AB4">
      <w:pPr>
        <w:spacing w:after="0" w:line="240" w:lineRule="auto"/>
      </w:pPr>
      <w:r>
        <w:separator/>
      </w:r>
    </w:p>
  </w:footnote>
  <w:footnote w:type="continuationSeparator" w:id="0">
    <w:p w:rsidR="00A63017" w:rsidRDefault="00A63017" w:rsidP="00D90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B4" w:rsidRDefault="00D90AB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B4" w:rsidRDefault="00D90AB4" w:rsidP="00D90AB4">
    <w:pPr>
      <w:pStyle w:val="a7"/>
    </w:pPr>
    <w:r>
      <w:rPr>
        <w:rFonts w:hint="cs"/>
        <w:noProof/>
      </w:rPr>
      <w:drawing>
        <wp:anchor distT="0" distB="0" distL="114300" distR="114300" simplePos="0" relativeHeight="251659264" behindDoc="0" locked="0" layoutInCell="1" allowOverlap="1" wp14:anchorId="76E60ADD" wp14:editId="723BC2A8">
          <wp:simplePos x="0" y="0"/>
          <wp:positionH relativeFrom="column">
            <wp:posOffset>-1089025</wp:posOffset>
          </wp:positionH>
          <wp:positionV relativeFrom="paragraph">
            <wp:posOffset>-328295</wp:posOffset>
          </wp:positionV>
          <wp:extent cx="1285875" cy="714375"/>
          <wp:effectExtent l="0" t="0" r="9525"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אליסף תל-אור</w:t>
    </w:r>
  </w:p>
  <w:p w:rsidR="00D90AB4" w:rsidRDefault="00D90AB4">
    <w:pPr>
      <w:pStyle w:val="a7"/>
      <w:rPr>
        <w:rFonts w:hint="c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B4" w:rsidRDefault="00D90AB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45FD"/>
    <w:multiLevelType w:val="hybridMultilevel"/>
    <w:tmpl w:val="9EA4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958C1"/>
    <w:multiLevelType w:val="hybridMultilevel"/>
    <w:tmpl w:val="53B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96C9B"/>
    <w:multiLevelType w:val="hybridMultilevel"/>
    <w:tmpl w:val="918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07FC2"/>
    <w:multiLevelType w:val="hybridMultilevel"/>
    <w:tmpl w:val="2F8A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E7563"/>
    <w:multiLevelType w:val="hybridMultilevel"/>
    <w:tmpl w:val="745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CE"/>
    <w:rsid w:val="000874D1"/>
    <w:rsid w:val="006E5BCE"/>
    <w:rsid w:val="00A63017"/>
    <w:rsid w:val="00C13571"/>
    <w:rsid w:val="00D67682"/>
    <w:rsid w:val="00D90AB4"/>
    <w:rsid w:val="00EF01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E5B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E5BCE"/>
    <w:rPr>
      <w:color w:val="0000FF"/>
      <w:u w:val="single"/>
    </w:rPr>
  </w:style>
  <w:style w:type="paragraph" w:styleId="a3">
    <w:name w:val="Balloon Text"/>
    <w:basedOn w:val="a"/>
    <w:link w:val="a4"/>
    <w:uiPriority w:val="99"/>
    <w:semiHidden/>
    <w:unhideWhenUsed/>
    <w:rsid w:val="006E5BC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E5BCE"/>
    <w:rPr>
      <w:rFonts w:ascii="Tahoma" w:hAnsi="Tahoma" w:cs="Tahoma"/>
      <w:sz w:val="16"/>
      <w:szCs w:val="16"/>
    </w:rPr>
  </w:style>
  <w:style w:type="paragraph" w:styleId="a5">
    <w:name w:val="List Paragraph"/>
    <w:basedOn w:val="a"/>
    <w:uiPriority w:val="34"/>
    <w:qFormat/>
    <w:rsid w:val="00D67682"/>
    <w:pPr>
      <w:ind w:left="720"/>
      <w:contextualSpacing/>
    </w:pPr>
  </w:style>
  <w:style w:type="paragraph" w:styleId="a6">
    <w:name w:val="No Spacing"/>
    <w:uiPriority w:val="1"/>
    <w:qFormat/>
    <w:rsid w:val="00D90AB4"/>
    <w:pPr>
      <w:bidi/>
      <w:spacing w:after="0" w:line="240" w:lineRule="auto"/>
    </w:pPr>
  </w:style>
  <w:style w:type="paragraph" w:styleId="a7">
    <w:name w:val="header"/>
    <w:basedOn w:val="a"/>
    <w:link w:val="a8"/>
    <w:uiPriority w:val="99"/>
    <w:unhideWhenUsed/>
    <w:rsid w:val="00D90AB4"/>
    <w:pPr>
      <w:tabs>
        <w:tab w:val="center" w:pos="4153"/>
        <w:tab w:val="right" w:pos="8306"/>
      </w:tabs>
      <w:spacing w:after="0" w:line="240" w:lineRule="auto"/>
    </w:pPr>
  </w:style>
  <w:style w:type="character" w:customStyle="1" w:styleId="a8">
    <w:name w:val="כותרת עליונה תו"/>
    <w:basedOn w:val="a0"/>
    <w:link w:val="a7"/>
    <w:uiPriority w:val="99"/>
    <w:rsid w:val="00D90AB4"/>
  </w:style>
  <w:style w:type="paragraph" w:styleId="a9">
    <w:name w:val="footer"/>
    <w:basedOn w:val="a"/>
    <w:link w:val="aa"/>
    <w:uiPriority w:val="99"/>
    <w:unhideWhenUsed/>
    <w:rsid w:val="00D90AB4"/>
    <w:pPr>
      <w:tabs>
        <w:tab w:val="center" w:pos="4153"/>
        <w:tab w:val="right" w:pos="8306"/>
      </w:tabs>
      <w:spacing w:after="0" w:line="240" w:lineRule="auto"/>
    </w:pPr>
  </w:style>
  <w:style w:type="character" w:customStyle="1" w:styleId="aa">
    <w:name w:val="כותרת תחתונה תו"/>
    <w:basedOn w:val="a0"/>
    <w:link w:val="a9"/>
    <w:uiPriority w:val="99"/>
    <w:rsid w:val="00D90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E5B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E5BCE"/>
    <w:rPr>
      <w:color w:val="0000FF"/>
      <w:u w:val="single"/>
    </w:rPr>
  </w:style>
  <w:style w:type="paragraph" w:styleId="a3">
    <w:name w:val="Balloon Text"/>
    <w:basedOn w:val="a"/>
    <w:link w:val="a4"/>
    <w:uiPriority w:val="99"/>
    <w:semiHidden/>
    <w:unhideWhenUsed/>
    <w:rsid w:val="006E5BCE"/>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E5BCE"/>
    <w:rPr>
      <w:rFonts w:ascii="Tahoma" w:hAnsi="Tahoma" w:cs="Tahoma"/>
      <w:sz w:val="16"/>
      <w:szCs w:val="16"/>
    </w:rPr>
  </w:style>
  <w:style w:type="paragraph" w:styleId="a5">
    <w:name w:val="List Paragraph"/>
    <w:basedOn w:val="a"/>
    <w:uiPriority w:val="34"/>
    <w:qFormat/>
    <w:rsid w:val="00D67682"/>
    <w:pPr>
      <w:ind w:left="720"/>
      <w:contextualSpacing/>
    </w:pPr>
  </w:style>
  <w:style w:type="paragraph" w:styleId="a6">
    <w:name w:val="No Spacing"/>
    <w:uiPriority w:val="1"/>
    <w:qFormat/>
    <w:rsid w:val="00D90AB4"/>
    <w:pPr>
      <w:bidi/>
      <w:spacing w:after="0" w:line="240" w:lineRule="auto"/>
    </w:pPr>
  </w:style>
  <w:style w:type="paragraph" w:styleId="a7">
    <w:name w:val="header"/>
    <w:basedOn w:val="a"/>
    <w:link w:val="a8"/>
    <w:uiPriority w:val="99"/>
    <w:unhideWhenUsed/>
    <w:rsid w:val="00D90AB4"/>
    <w:pPr>
      <w:tabs>
        <w:tab w:val="center" w:pos="4153"/>
        <w:tab w:val="right" w:pos="8306"/>
      </w:tabs>
      <w:spacing w:after="0" w:line="240" w:lineRule="auto"/>
    </w:pPr>
  </w:style>
  <w:style w:type="character" w:customStyle="1" w:styleId="a8">
    <w:name w:val="כותרת עליונה תו"/>
    <w:basedOn w:val="a0"/>
    <w:link w:val="a7"/>
    <w:uiPriority w:val="99"/>
    <w:rsid w:val="00D90AB4"/>
  </w:style>
  <w:style w:type="paragraph" w:styleId="a9">
    <w:name w:val="footer"/>
    <w:basedOn w:val="a"/>
    <w:link w:val="aa"/>
    <w:uiPriority w:val="99"/>
    <w:unhideWhenUsed/>
    <w:rsid w:val="00D90AB4"/>
    <w:pPr>
      <w:tabs>
        <w:tab w:val="center" w:pos="4153"/>
        <w:tab w:val="right" w:pos="8306"/>
      </w:tabs>
      <w:spacing w:after="0" w:line="240" w:lineRule="auto"/>
    </w:pPr>
  </w:style>
  <w:style w:type="character" w:customStyle="1" w:styleId="aa">
    <w:name w:val="כותרת תחתונה תו"/>
    <w:basedOn w:val="a0"/>
    <w:link w:val="a9"/>
    <w:uiPriority w:val="99"/>
    <w:rsid w:val="00D9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1436">
      <w:bodyDiv w:val="1"/>
      <w:marLeft w:val="0"/>
      <w:marRight w:val="0"/>
      <w:marTop w:val="0"/>
      <w:marBottom w:val="0"/>
      <w:divBdr>
        <w:top w:val="none" w:sz="0" w:space="0" w:color="auto"/>
        <w:left w:val="none" w:sz="0" w:space="0" w:color="auto"/>
        <w:bottom w:val="none" w:sz="0" w:space="0" w:color="auto"/>
        <w:right w:val="none" w:sz="0" w:space="0" w:color="auto"/>
      </w:divBdr>
    </w:div>
    <w:div w:id="573048573">
      <w:bodyDiv w:val="1"/>
      <w:marLeft w:val="0"/>
      <w:marRight w:val="0"/>
      <w:marTop w:val="0"/>
      <w:marBottom w:val="0"/>
      <w:divBdr>
        <w:top w:val="none" w:sz="0" w:space="0" w:color="auto"/>
        <w:left w:val="none" w:sz="0" w:space="0" w:color="auto"/>
        <w:bottom w:val="none" w:sz="0" w:space="0" w:color="auto"/>
        <w:right w:val="none" w:sz="0" w:space="0" w:color="auto"/>
      </w:divBdr>
    </w:div>
    <w:div w:id="9361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evim.co.il/%D7%97%D7%99%D7%A0%D7%95%D7%9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733</Words>
  <Characters>3669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2019-06-02T08:16:00Z</dcterms:created>
  <dcterms:modified xsi:type="dcterms:W3CDTF">2019-06-02T09:03:00Z</dcterms:modified>
</cp:coreProperties>
</file>